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/>
          <w:b/>
          <w:bCs/>
          <w:lang w:bidi="ar"/>
        </w:rPr>
      </w:pPr>
      <w:r>
        <w:rPr>
          <w:rFonts w:hint="eastAsia" w:ascii="Times New Roman" w:hAnsi="Times New Roman"/>
          <w:b/>
          <w:bCs/>
          <w:lang w:bidi="ar"/>
        </w:rPr>
        <w:t>Machine learning-based CT angiographic-derived fractional flow reserve (CT-FFR) for diagnosis of functionally significant coronary artery disease</w:t>
      </w:r>
    </w:p>
    <w:p>
      <w:pPr>
        <w:rPr>
          <w:rFonts w:hint="eastAsia" w:ascii="Times New Roman" w:hAnsi="Times New Roman"/>
          <w:b w:val="0"/>
          <w:bCs w:val="0"/>
          <w:lang w:bidi="ar"/>
        </w:rPr>
      </w:pPr>
      <w:r>
        <w:rPr>
          <w:rFonts w:hint="eastAsia" w:ascii="Times New Roman" w:hAnsi="Times New Roman"/>
          <w:b w:val="0"/>
          <w:bCs w:val="0"/>
          <w:lang w:bidi="ar"/>
        </w:rPr>
        <w:t>Ziyu An, MM1#, Jinfan Tian,MD,PhD1#, Xin Zhao,MD,PhD1, Mingduo Zhang,MD,PhD1, Lijun Zhang,MM2, Xueyao Yang,MM1, Libo Liu,MM1,3,  Xiantao Song,MD,PhD1</w:t>
      </w:r>
    </w:p>
    <w:p>
      <w:pPr>
        <w:rPr>
          <w:rFonts w:hint="eastAsia" w:ascii="Times New Roman" w:hAnsi="Times New Roman"/>
          <w:b w:val="0"/>
          <w:bCs w:val="0"/>
          <w:lang w:bidi="ar"/>
        </w:rPr>
      </w:pPr>
      <w:r>
        <w:rPr>
          <w:rFonts w:hint="eastAsia" w:ascii="Times New Roman" w:hAnsi="Times New Roman"/>
          <w:b w:val="0"/>
          <w:bCs w:val="0"/>
          <w:lang w:bidi="ar"/>
        </w:rPr>
        <w:t>1. Department of Cardiology, Beijing Anzhen Hospital, Capital Medical University, 100029, Beijing, China</w:t>
      </w:r>
    </w:p>
    <w:p>
      <w:pPr>
        <w:rPr>
          <w:rFonts w:hint="eastAsia" w:ascii="Times New Roman" w:hAnsi="Times New Roman"/>
          <w:b w:val="0"/>
          <w:bCs w:val="0"/>
          <w:lang w:bidi="ar"/>
        </w:rPr>
      </w:pPr>
      <w:r>
        <w:rPr>
          <w:rFonts w:hint="eastAsia" w:ascii="Times New Roman" w:hAnsi="Times New Roman"/>
          <w:b w:val="0"/>
          <w:bCs w:val="0"/>
          <w:lang w:bidi="ar"/>
        </w:rPr>
        <w:t>2. Department of Radiology, Beijing Anzhen Hospital, Capital Medical University, 100029, Beijing, China</w:t>
      </w:r>
    </w:p>
    <w:p>
      <w:pPr>
        <w:rPr>
          <w:rFonts w:hint="eastAsia" w:ascii="Times New Roman" w:hAnsi="Times New Roman"/>
          <w:b w:val="0"/>
          <w:bCs w:val="0"/>
          <w:lang w:bidi="ar"/>
        </w:rPr>
      </w:pPr>
      <w:r>
        <w:rPr>
          <w:rFonts w:hint="eastAsia" w:ascii="Times New Roman" w:hAnsi="Times New Roman"/>
          <w:b w:val="0"/>
          <w:bCs w:val="0"/>
          <w:lang w:bidi="ar"/>
        </w:rPr>
        <w:t>3. Department of Cardiology, The Second Affiliated Hospital of Shandong First Medical University, Taian, Shandong 271000, P.R. China.</w:t>
      </w:r>
    </w:p>
    <w:p>
      <w:pPr>
        <w:rPr>
          <w:rFonts w:ascii="Times New Roman" w:hAnsi="Times New Roman"/>
          <w:b w:val="0"/>
          <w:bCs w:val="0"/>
          <w:lang w:bidi="ar"/>
        </w:rPr>
      </w:pPr>
      <w:r>
        <w:rPr>
          <w:rFonts w:hint="eastAsia" w:ascii="Times New Roman" w:hAnsi="Times New Roman"/>
          <w:b w:val="0"/>
          <w:bCs w:val="0"/>
          <w:lang w:bidi="ar"/>
        </w:rPr>
        <w:t>#These authors contributed equally to this work.</w:t>
      </w:r>
    </w:p>
    <w:p>
      <w:pPr>
        <w:rPr>
          <w:rFonts w:ascii="Times New Roman" w:hAnsi="Times New Roman"/>
          <w:b/>
          <w:bCs/>
          <w:lang w:bidi="ar"/>
        </w:rPr>
      </w:pPr>
      <w:bookmarkStart w:id="2" w:name="_GoBack"/>
      <w:bookmarkEnd w:id="2"/>
    </w:p>
    <w:p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bidi="ar"/>
        </w:rPr>
        <w:t>Abstract:</w:t>
      </w:r>
    </w:p>
    <w:p>
      <w:pPr>
        <w:rPr>
          <w:rFonts w:ascii="Times New Roman" w:hAnsi="Times New Roman"/>
        </w:rPr>
      </w:pPr>
      <w:bookmarkStart w:id="0" w:name="OLE_LINK1"/>
      <w:bookmarkStart w:id="1" w:name="OLE_LINK2"/>
      <w:r>
        <w:rPr>
          <w:rFonts w:ascii="Times New Roman" w:hAnsi="Times New Roman"/>
          <w:b/>
          <w:bCs/>
          <w:lang w:bidi="ar"/>
        </w:rPr>
        <w:t>Introduction:</w:t>
      </w:r>
      <w:r>
        <w:rPr>
          <w:rFonts w:ascii="Times New Roman" w:hAnsi="Times New Roman"/>
        </w:rPr>
        <w:t xml:space="preserve"> Machine learning (ML) based CT angiographic-derived flow reserve fraction (CT-FFR) can effectively improve the efficiency of diagnosing coronary heart disease and may be a new non-invasive diagnostic and functional assessment modality for coronary artery disease (CAD). This meta-analysis evaluated the diagnostic accuracy of ML-based CT-FFR and compared it with coronary CT angiography (CCTA) using invasive FFR as reference.</w:t>
      </w:r>
    </w:p>
    <w:p>
      <w:pPr>
        <w:rPr>
          <w:rFonts w:ascii="Times New Roman" w:hAnsi="Times New Roman"/>
          <w:lang w:bidi="ar"/>
        </w:rPr>
      </w:pPr>
      <w:r>
        <w:rPr>
          <w:rFonts w:ascii="Times New Roman" w:hAnsi="Times New Roman"/>
          <w:b/>
          <w:bCs/>
          <w:lang w:bidi="ar"/>
        </w:rPr>
        <w:t xml:space="preserve">Methods: </w:t>
      </w:r>
      <w:r>
        <w:rPr>
          <w:rFonts w:ascii="Times New Roman" w:hAnsi="Times New Roman"/>
          <w:lang w:bidi="ar"/>
        </w:rPr>
        <w:t>We used the PubMed and Cochrane Library databases to search for relevant articles published between January 2008 and April 9th, 2022, with the following parameters: 'machine learning' AND " 'computed tomography angiography' AND 'fractional flow reserve'" or 'CT-FFR' or 'FFR-CT'. We calculated combined sensitivity and specificity estimates based on the corresponding 95% confidence intervals (CI) and the pooled subject operating characteristic curves (sROC).</w:t>
      </w:r>
    </w:p>
    <w:p>
      <w:pPr>
        <w:rPr>
          <w:rFonts w:ascii="Times New Roman" w:hAnsi="Times New Roman"/>
          <w:lang w:bidi="ar"/>
        </w:rPr>
      </w:pPr>
      <w:r>
        <w:rPr>
          <w:rFonts w:ascii="Times New Roman" w:hAnsi="Times New Roman"/>
          <w:b/>
          <w:bCs/>
          <w:lang w:bidi="ar"/>
        </w:rPr>
        <w:t>Results: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bidi="ar"/>
        </w:rPr>
        <w:t>The 13 studies published between 2018 and 2022 included 3067 patients and 3902 vessels. At the per-vessel level, ML-based CT-FFR had a combined sensitivity and specificity of 80% (95% CI , 76-83%) and 86% (95% CI , 83-89%), compared to 84% (95% CI , 78-88%) and 91% (95% CI , 86-94%) on a per-patient level. There was no significant difference between ML-based CT-FFR and CCTA at the patient and vessel levels (0.84 versus 0.92 per patient; 0.80 versus 0.87 per vessel). However, the specificity of ML-based CT-FFR was higher than that of CCTA (0.91 versus 0.36 per patient; 0.86 versus 0.35 per vessel).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bidi="ar"/>
        </w:rPr>
        <w:t>Conclusions:</w:t>
      </w:r>
      <w:r>
        <w:rPr>
          <w:rFonts w:ascii="Times New Roman" w:hAnsi="Times New Roman"/>
        </w:rPr>
        <w:t xml:space="preserve"> CT-FFR based on ML has greater diagnostic specificity and PLR than CCTA for detecting functionally significant CAD.</w:t>
      </w:r>
    </w:p>
    <w:bookmarkEnd w:id="0"/>
    <w:bookmarkEnd w:id="1"/>
    <w:p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Keywords:</w:t>
      </w:r>
      <w:r>
        <w:rPr>
          <w:rFonts w:ascii="Times New Roman" w:hAnsi="Times New Roman"/>
        </w:rPr>
        <w:t xml:space="preserve"> Computed tomography angiography; Coronary artery disease; flow reserve fraction; machine learning; Hemodynamics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DF893E"/>
    <w:rsid w:val="AE7F9BFB"/>
    <w:rsid w:val="EF65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Office_5.4.1.7920_F1E327BC-269C-435d-A152-05C5408002CA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2023-05-25T18:12:26Z</dcterms:created>
  <dc:creator>Data</dc:creator>
  <cp:lastModifiedBy>安泡芙Alice</cp:lastModifiedBy>
  <dcterms:modified xsi:type="dcterms:W3CDTF">2023-05-25T18:14:08Z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2052-5.4.1.7920</vt:lpwstr>
  </property>
  <property fmtid="{D5CDD505-2E9C-101B-9397-08002B2CF9AE}" pid="3" name="ICV">
    <vt:lpwstr>142447DDDF1C418F8E346F64E56EAF37_42</vt:lpwstr>
  </property>
</Properties>
</file>