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1CFD46" w14:textId="5419AE73" w:rsidR="00AE3E37" w:rsidRDefault="00EE06EF" w:rsidP="00494130">
      <w:pPr>
        <w:pStyle w:val="1"/>
        <w:spacing w:before="170"/>
        <w:ind w:left="0"/>
      </w:pPr>
      <w:r w:rsidRPr="00EE06EF">
        <w:rPr>
          <w:color w:val="337AB7"/>
        </w:rPr>
        <w:t xml:space="preserve">Terahertz </w:t>
      </w:r>
      <w:r>
        <w:rPr>
          <w:color w:val="337AB7"/>
        </w:rPr>
        <w:t>L</w:t>
      </w:r>
      <w:r w:rsidRPr="00EE06EF">
        <w:rPr>
          <w:color w:val="337AB7"/>
        </w:rPr>
        <w:t xml:space="preserve">ight </w:t>
      </w:r>
      <w:r>
        <w:rPr>
          <w:color w:val="337AB7"/>
        </w:rPr>
        <w:t>E</w:t>
      </w:r>
      <w:r w:rsidRPr="00EE06EF">
        <w:rPr>
          <w:color w:val="337AB7"/>
        </w:rPr>
        <w:t xml:space="preserve">mission and </w:t>
      </w:r>
      <w:r>
        <w:rPr>
          <w:color w:val="337AB7"/>
        </w:rPr>
        <w:t>L</w:t>
      </w:r>
      <w:r w:rsidRPr="00EE06EF">
        <w:rPr>
          <w:color w:val="337AB7"/>
        </w:rPr>
        <w:t xml:space="preserve">asing in </w:t>
      </w:r>
      <w:r>
        <w:rPr>
          <w:color w:val="337AB7"/>
        </w:rPr>
        <w:t>C</w:t>
      </w:r>
      <w:r w:rsidRPr="00EE06EF">
        <w:rPr>
          <w:color w:val="337AB7"/>
        </w:rPr>
        <w:t>urrent-</w:t>
      </w:r>
      <w:r>
        <w:rPr>
          <w:color w:val="337AB7"/>
        </w:rPr>
        <w:t>D</w:t>
      </w:r>
      <w:r w:rsidRPr="00EE06EF">
        <w:rPr>
          <w:color w:val="337AB7"/>
        </w:rPr>
        <w:t xml:space="preserve">riven </w:t>
      </w:r>
      <w:r>
        <w:rPr>
          <w:color w:val="337AB7"/>
        </w:rPr>
        <w:t>G</w:t>
      </w:r>
      <w:r w:rsidRPr="00EE06EF">
        <w:rPr>
          <w:color w:val="337AB7"/>
        </w:rPr>
        <w:t xml:space="preserve">raphene-based 2D </w:t>
      </w:r>
      <w:r>
        <w:rPr>
          <w:color w:val="337AB7"/>
        </w:rPr>
        <w:t xml:space="preserve">Nano- </w:t>
      </w:r>
      <w:r w:rsidR="007E2347">
        <w:rPr>
          <w:color w:val="337AB7"/>
        </w:rPr>
        <w:t>and</w:t>
      </w:r>
      <w:r>
        <w:rPr>
          <w:color w:val="337AB7"/>
        </w:rPr>
        <w:t xml:space="preserve"> Plasmonic-S</w:t>
      </w:r>
      <w:r w:rsidRPr="00EE06EF">
        <w:rPr>
          <w:color w:val="337AB7"/>
        </w:rPr>
        <w:t>tructures</w:t>
      </w:r>
    </w:p>
    <w:p w14:paraId="142D34F5" w14:textId="77777777" w:rsidR="005973B9" w:rsidRDefault="00EE06EF" w:rsidP="005973B9">
      <w:pPr>
        <w:pStyle w:val="a3"/>
        <w:spacing w:before="73" w:line="198" w:lineRule="exact"/>
        <w:ind w:left="100" w:right="5987"/>
        <w:rPr>
          <w:rFonts w:ascii="Arial"/>
        </w:rPr>
      </w:pPr>
      <w:r>
        <w:rPr>
          <w:rFonts w:ascii="Arial"/>
        </w:rPr>
        <w:t>Taiichi Otsuji</w:t>
      </w:r>
      <w:r w:rsidR="00F40193">
        <w:rPr>
          <w:rFonts w:ascii="Arial"/>
        </w:rPr>
        <w:t xml:space="preserve">, </w:t>
      </w:r>
      <w:r>
        <w:rPr>
          <w:rFonts w:ascii="Arial"/>
        </w:rPr>
        <w:t>Tohoku University, Japan</w:t>
      </w:r>
    </w:p>
    <w:p w14:paraId="25555C45"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56C17E8F" w14:textId="77777777" w:rsidR="00AE3E37" w:rsidRDefault="00A9710C">
      <w:pPr>
        <w:pStyle w:val="3"/>
        <w:spacing w:before="147"/>
        <w:jc w:val="both"/>
      </w:pPr>
      <w:r>
        <w:rPr>
          <w:color w:val="BF5A14"/>
        </w:rPr>
        <w:lastRenderedPageBreak/>
        <w:t>Abstract</w:t>
      </w:r>
      <w:r w:rsidR="00404E5B">
        <w:rPr>
          <w:color w:val="BF5A14"/>
        </w:rPr>
        <w:t xml:space="preserve"> (300 word limit)</w:t>
      </w:r>
    </w:p>
    <w:p w14:paraId="58211654" w14:textId="77777777" w:rsidR="00EE06EF" w:rsidRDefault="00EE06EF" w:rsidP="008A7674">
      <w:pPr>
        <w:pStyle w:val="a3"/>
        <w:spacing w:before="90" w:line="280" w:lineRule="auto"/>
        <w:ind w:left="100"/>
        <w:jc w:val="both"/>
      </w:pPr>
      <w:r w:rsidRPr="00EE06EF">
        <w:rPr>
          <w:lang w:val="de-DE"/>
        </w:rPr>
        <w:t>Graphene has attracted considerable attention due to its massless and gapless energy spectrum of Dirac Fermions as well as strong light-matter interactions via plasmon-polaritons. This paper</w:t>
      </w:r>
      <w:r>
        <w:rPr>
          <w:lang w:val="de-DE"/>
        </w:rPr>
        <w:t xml:space="preserve"> highlights recent advances in t</w:t>
      </w:r>
      <w:r w:rsidRPr="00EE06EF">
        <w:t>erahertz</w:t>
      </w:r>
      <w:r>
        <w:t xml:space="preserve"> (THz)</w:t>
      </w:r>
      <w:r w:rsidRPr="00EE06EF">
        <w:t xml:space="preserve"> light emission and lasing in current-driven graphene-based 2D </w:t>
      </w:r>
      <w:r>
        <w:t>nano-</w:t>
      </w:r>
      <w:r w:rsidRPr="00EE06EF">
        <w:t>structures</w:t>
      </w:r>
      <w:r w:rsidRPr="00EE06EF">
        <w:rPr>
          <w:lang w:val="de-DE"/>
        </w:rPr>
        <w:t>.</w:t>
      </w:r>
      <w:r>
        <w:t xml:space="preserve"> </w:t>
      </w:r>
      <w:r w:rsidRPr="00EE06EF">
        <w:t>The dual-gate graphene channel transistor (DG-GFET) structure promotes carrier population inversion in the lateral p-i-n junctions under complementa</w:t>
      </w:r>
      <w:bookmarkStart w:id="0" w:name="_GoBack"/>
      <w:bookmarkEnd w:id="0"/>
      <w:r w:rsidRPr="00EE06EF">
        <w:t>ry dual-gate biased and forward drain biased conditions, promoting spontaneous incoherent THz light emission. A laser cavity structure implemented in the active gain area can transcend the incoherent light emission to the single-mode lasing. We designed and fabricated the distributed feedback (DFB) DG-GFET. The GFET channel consists of a double layer (non-Bernal) epitaxial graphene, providing an intrinsic field-effect mobility exceeding 100,000 cm</w:t>
      </w:r>
      <w:r w:rsidRPr="00EE06EF">
        <w:rPr>
          <w:vertAlign w:val="superscript"/>
        </w:rPr>
        <w:t>2</w:t>
      </w:r>
      <w:r w:rsidRPr="00EE06EF">
        <w:t xml:space="preserve">/Vs. The teeth-brash-shaped DG forms the DFB cavity having the fundamental mode at 4.96 THz. THz emission from the sample was measured using a Fourier-transform spectrometer with a 4.2K-cooled Si bolometer. Broadband rather intense (~10 </w:t>
      </w:r>
      <w:r w:rsidRPr="00EE06EF">
        <w:rPr>
          <w:rFonts w:cs="????? ?? ?????"/>
        </w:rPr>
        <w:t>µ</w:t>
      </w:r>
      <w:r w:rsidRPr="00EE06EF">
        <w:t>W) a</w:t>
      </w:r>
      <w:r w:rsidRPr="00EE06EF">
        <w:t>m</w:t>
      </w:r>
      <w:r w:rsidRPr="00EE06EF">
        <w:t xml:space="preserve">plified spontaneous emission from 1 to 7.6 THz and weak (~0.1 </w:t>
      </w:r>
      <w:r w:rsidRPr="00EE06EF">
        <w:rPr>
          <w:rFonts w:cs="????? ?? ?????"/>
        </w:rPr>
        <w:t>µ</w:t>
      </w:r>
      <w:r w:rsidRPr="00EE06EF">
        <w:t>W) single-mode lasing at 5.2 THz were observed at 100K in different samples. Present structure offers a weak gain overlapping due to poor THz photon-field confinement, resulting in a wide variation from single-mode lasing to broadband incoherent emission depending on gr</w:t>
      </w:r>
      <w:r w:rsidRPr="00EE06EF">
        <w:t>a</w:t>
      </w:r>
      <w:r w:rsidRPr="00EE06EF">
        <w:t>phene quality (carrier momentum relaxation time). Further improv</w:t>
      </w:r>
      <w:r w:rsidRPr="00EE06EF">
        <w:t>e</w:t>
      </w:r>
      <w:r w:rsidRPr="00EE06EF">
        <w:t>ments are now under way</w:t>
      </w:r>
      <w:r>
        <w:t>.</w:t>
      </w:r>
    </w:p>
    <w:p w14:paraId="08628151" w14:textId="77777777" w:rsidR="008A7674" w:rsidRDefault="00A9710C" w:rsidP="008A7674">
      <w:pPr>
        <w:pStyle w:val="a3"/>
        <w:spacing w:before="90" w:line="280" w:lineRule="auto"/>
        <w:ind w:left="100"/>
        <w:jc w:val="both"/>
        <w:rPr>
          <w:lang w:val="de-DE"/>
        </w:rPr>
      </w:pPr>
      <w:r>
        <w:t xml:space="preserve">Conclusion &amp; Significance: </w:t>
      </w:r>
      <w:r w:rsidR="00EE06EF" w:rsidRPr="00EE06EF">
        <w:rPr>
          <w:lang w:val="de-DE"/>
        </w:rPr>
        <w:t xml:space="preserve">Carrier-injection pumping of graphene can enable negative-dynamic conductivity in the </w:t>
      </w:r>
      <w:r w:rsidR="00EE06EF">
        <w:rPr>
          <w:lang w:val="de-DE"/>
        </w:rPr>
        <w:t>THz</w:t>
      </w:r>
      <w:r w:rsidR="00EE06EF" w:rsidRPr="00EE06EF">
        <w:rPr>
          <w:lang w:val="de-DE"/>
        </w:rPr>
        <w:t xml:space="preserve"> range, which may lead to </w:t>
      </w:r>
      <w:r w:rsidR="00EE06EF">
        <w:rPr>
          <w:lang w:val="de-DE"/>
        </w:rPr>
        <w:t>a new type</w:t>
      </w:r>
      <w:r w:rsidR="00EE06EF" w:rsidRPr="00EE06EF">
        <w:rPr>
          <w:lang w:val="de-DE"/>
        </w:rPr>
        <w:t xml:space="preserve"> of THz lasers. Current-driven plasmon instabilities </w:t>
      </w:r>
      <w:r w:rsidR="002E0B81">
        <w:rPr>
          <w:lang w:val="de-DE"/>
        </w:rPr>
        <w:t xml:space="preserve">in dual-grating-gate GFET structures as well as plasmon-assisted resonant tunneling </w:t>
      </w:r>
      <w:r w:rsidR="00EE06EF" w:rsidRPr="00EE06EF">
        <w:rPr>
          <w:lang w:val="de-DE"/>
        </w:rPr>
        <w:t xml:space="preserve">in </w:t>
      </w:r>
      <w:r w:rsidR="002E0B81">
        <w:rPr>
          <w:lang w:val="de-DE"/>
        </w:rPr>
        <w:t>gated double-graphene-layered nano-capasitor structures</w:t>
      </w:r>
      <w:r w:rsidR="00EE06EF" w:rsidRPr="00EE06EF">
        <w:rPr>
          <w:lang w:val="de-DE"/>
        </w:rPr>
        <w:t xml:space="preserve"> can promote the generation and amplification of THz waves, leading to intense, room-temperature THz lasing.</w:t>
      </w:r>
    </w:p>
    <w:p w14:paraId="4607AA03" w14:textId="77777777" w:rsidR="0056295D" w:rsidRPr="003F203B" w:rsidRDefault="0056295D" w:rsidP="008A7674">
      <w:pPr>
        <w:pStyle w:val="a3"/>
        <w:spacing w:before="90" w:line="280" w:lineRule="auto"/>
        <w:ind w:left="100"/>
        <w:jc w:val="both"/>
      </w:pPr>
      <w:r>
        <w:rPr>
          <w:lang w:val="de-DE"/>
        </w:rPr>
        <w:lastRenderedPageBreak/>
        <w:t>The author thanks V. Ryzhii, S.A. Boubanga-Tombet, T. Watanabe, A. S</w:t>
      </w:r>
      <w:r>
        <w:rPr>
          <w:lang w:val="de-DE"/>
        </w:rPr>
        <w:t>a</w:t>
      </w:r>
      <w:r>
        <w:rPr>
          <w:lang w:val="de-DE"/>
        </w:rPr>
        <w:t>tou, D. Yadav, G. Tamamushi, M. Ryzhii, A.A. Dubinov, V.V. Popov, V. Mithin, and M.S. Shur for their contributions. This work is supported by JSPS KAKENHI #16H06361 and #</w:t>
      </w:r>
      <w:r w:rsidR="003F203B">
        <w:rPr>
          <w:lang w:val="de-DE"/>
        </w:rPr>
        <w:t>18H05331, Japan.</w:t>
      </w:r>
    </w:p>
    <w:p w14:paraId="2F1207AA" w14:textId="77777777" w:rsidR="00EE06EF" w:rsidRDefault="00EE06EF" w:rsidP="008A7674">
      <w:pPr>
        <w:pStyle w:val="a3"/>
        <w:spacing w:before="90" w:line="280" w:lineRule="auto"/>
        <w:ind w:left="100"/>
        <w:jc w:val="both"/>
        <w:rPr>
          <w:color w:val="BF5A14"/>
        </w:rPr>
      </w:pPr>
    </w:p>
    <w:p w14:paraId="61BCBEAD" w14:textId="77777777" w:rsidR="005973B9" w:rsidRDefault="005973B9" w:rsidP="005973B9">
      <w:pPr>
        <w:spacing w:line="204" w:lineRule="exact"/>
        <w:rPr>
          <w:rFonts w:ascii="Arial"/>
          <w:b/>
          <w:sz w:val="20"/>
        </w:rPr>
      </w:pPr>
      <w:r>
        <w:rPr>
          <w:rFonts w:ascii="Arial"/>
          <w:b/>
          <w:color w:val="BF5A14"/>
          <w:sz w:val="20"/>
        </w:rPr>
        <w:t>Recent Publications (minimum 5)</w:t>
      </w:r>
    </w:p>
    <w:p w14:paraId="20EBDC59" w14:textId="77777777" w:rsidR="004A54B2" w:rsidRPr="004A54B2" w:rsidRDefault="00EE06EF" w:rsidP="004A54B2">
      <w:pPr>
        <w:tabs>
          <w:tab w:val="left" w:pos="384"/>
        </w:tabs>
        <w:ind w:right="117"/>
        <w:rPr>
          <w:rFonts w:ascii="Calibri" w:eastAsia="Calibri" w:hAnsi="Calibri" w:cs="Calibri"/>
          <w:sz w:val="18"/>
          <w:lang w:val="en-GB"/>
        </w:rPr>
      </w:pPr>
      <w:r w:rsidRPr="00EE06EF">
        <w:rPr>
          <w:rFonts w:ascii="Calibri" w:eastAsia="Calibri" w:hAnsi="Calibri" w:cs="Calibri"/>
          <w:b/>
          <w:sz w:val="18"/>
        </w:rPr>
        <w:t xml:space="preserve">Yadav D, Tamamushi G, Watanabe T, Mitsushio J, Tobah Y, Sugawara K, Dubinov </w:t>
      </w:r>
      <w:r w:rsidR="002E0B81">
        <w:rPr>
          <w:rFonts w:ascii="Calibri" w:eastAsia="Calibri" w:hAnsi="Calibri" w:cs="Calibri"/>
          <w:b/>
          <w:sz w:val="18"/>
        </w:rPr>
        <w:t>AA, Satou A, Ryzhii M, Ryzhii V</w:t>
      </w:r>
      <w:r w:rsidRPr="00EE06EF">
        <w:rPr>
          <w:rFonts w:ascii="Calibri" w:eastAsia="Calibri" w:hAnsi="Calibri" w:cs="Calibri"/>
          <w:b/>
          <w:sz w:val="18"/>
        </w:rPr>
        <w:t xml:space="preserve"> and Otsuji T</w:t>
      </w:r>
      <w:r w:rsidR="002E0B81">
        <w:rPr>
          <w:rFonts w:ascii="Calibri" w:eastAsia="Calibri" w:hAnsi="Calibri" w:cs="Calibri"/>
          <w:sz w:val="18"/>
        </w:rPr>
        <w:t>.</w:t>
      </w:r>
      <w:r w:rsidRPr="00EE06EF">
        <w:rPr>
          <w:rFonts w:ascii="Calibri" w:eastAsia="Calibri" w:hAnsi="Calibri" w:cs="Calibri"/>
          <w:sz w:val="18"/>
        </w:rPr>
        <w:t xml:space="preserve"> </w:t>
      </w:r>
      <w:r w:rsidRPr="00EE06EF">
        <w:rPr>
          <w:rFonts w:ascii="Calibri" w:eastAsia="Calibri" w:hAnsi="Calibri" w:cs="Calibri"/>
          <w:bCs/>
          <w:sz w:val="18"/>
        </w:rPr>
        <w:t>Terahertz light-emitting graphene-channel transistor toward single-mode lasing</w:t>
      </w:r>
      <w:r>
        <w:rPr>
          <w:rFonts w:ascii="Calibri" w:eastAsia="Calibri" w:hAnsi="Calibri" w:cs="Calibri"/>
          <w:bCs/>
          <w:sz w:val="18"/>
        </w:rPr>
        <w:t>.</w:t>
      </w:r>
      <w:r w:rsidRPr="00EE06EF">
        <w:rPr>
          <w:rFonts w:ascii="Calibri" w:eastAsia="Calibri" w:hAnsi="Calibri" w:cs="Calibri"/>
          <w:sz w:val="18"/>
        </w:rPr>
        <w:t xml:space="preserve"> </w:t>
      </w:r>
      <w:r>
        <w:rPr>
          <w:rFonts w:ascii="Calibri" w:eastAsia="Calibri" w:hAnsi="Calibri" w:cs="Calibri"/>
          <w:sz w:val="18"/>
        </w:rPr>
        <w:t>Nanophoton</w:t>
      </w:r>
      <w:r w:rsidR="002E0B81">
        <w:rPr>
          <w:rFonts w:ascii="Calibri" w:eastAsia="Calibri" w:hAnsi="Calibri" w:cs="Calibri"/>
          <w:sz w:val="18"/>
        </w:rPr>
        <w:t>.</w:t>
      </w:r>
      <w:r w:rsidRPr="00EE06EF">
        <w:rPr>
          <w:rFonts w:ascii="Calibri" w:eastAsia="Calibri" w:hAnsi="Calibri" w:cs="Calibri"/>
          <w:sz w:val="18"/>
        </w:rPr>
        <w:t xml:space="preserve"> </w:t>
      </w:r>
      <w:r w:rsidRPr="00EE06EF">
        <w:rPr>
          <w:rFonts w:ascii="Calibri" w:eastAsia="Calibri" w:hAnsi="Calibri" w:cs="Calibri"/>
          <w:b/>
          <w:sz w:val="18"/>
        </w:rPr>
        <w:t>7</w:t>
      </w:r>
      <w:r w:rsidRPr="00EE06EF">
        <w:rPr>
          <w:rFonts w:ascii="Calibri" w:eastAsia="Calibri" w:hAnsi="Calibri" w:cs="Calibri"/>
          <w:sz w:val="18"/>
        </w:rPr>
        <w:t xml:space="preserve"> 741-752 (2018).</w:t>
      </w:r>
    </w:p>
    <w:p w14:paraId="13711295" w14:textId="77777777" w:rsidR="004A54B2" w:rsidRPr="004A54B2" w:rsidRDefault="004A54B2" w:rsidP="004A54B2">
      <w:pPr>
        <w:tabs>
          <w:tab w:val="left" w:pos="384"/>
        </w:tabs>
        <w:ind w:right="117"/>
        <w:rPr>
          <w:rFonts w:ascii="Calibri" w:eastAsia="Calibri" w:hAnsi="Calibri" w:cs="Calibri"/>
          <w:sz w:val="18"/>
          <w:lang w:val="en-GB"/>
        </w:rPr>
      </w:pPr>
    </w:p>
    <w:p w14:paraId="73E2A635" w14:textId="77777777" w:rsidR="00AC61E2" w:rsidRPr="00AC61E2" w:rsidRDefault="00AC61E2" w:rsidP="00AC61E2">
      <w:pPr>
        <w:tabs>
          <w:tab w:val="left" w:pos="384"/>
        </w:tabs>
        <w:ind w:right="117"/>
        <w:rPr>
          <w:rFonts w:ascii="Calibri" w:eastAsia="Calibri" w:hAnsi="Calibri" w:cs="Calibri"/>
          <w:bCs/>
          <w:sz w:val="18"/>
          <w:lang w:eastAsia="ja-JP"/>
        </w:rPr>
      </w:pPr>
      <w:r>
        <w:rPr>
          <w:rFonts w:ascii="Calibri" w:eastAsia="Calibri" w:hAnsi="Calibri" w:cs="Calibri"/>
          <w:b/>
          <w:bCs/>
          <w:sz w:val="18"/>
          <w:lang w:val="en-GB"/>
        </w:rPr>
        <w:t xml:space="preserve">Polischuk OV, Fateev D, Otsuji T and Popov VV. </w:t>
      </w:r>
      <w:r w:rsidRPr="00AC61E2">
        <w:rPr>
          <w:rFonts w:ascii="Calibri" w:eastAsia="Calibri" w:hAnsi="Calibri" w:cs="Calibri"/>
          <w:bCs/>
          <w:sz w:val="18"/>
          <w:lang w:val="en-GB"/>
        </w:rPr>
        <w:t>Plasmonic amplific</w:t>
      </w:r>
      <w:r w:rsidRPr="00AC61E2">
        <w:rPr>
          <w:rFonts w:ascii="Calibri" w:eastAsia="Calibri" w:hAnsi="Calibri" w:cs="Calibri"/>
          <w:bCs/>
          <w:sz w:val="18"/>
          <w:lang w:val="en-GB"/>
        </w:rPr>
        <w:t>a</w:t>
      </w:r>
      <w:r w:rsidRPr="00AC61E2">
        <w:rPr>
          <w:rFonts w:ascii="Calibri" w:eastAsia="Calibri" w:hAnsi="Calibri" w:cs="Calibri"/>
          <w:bCs/>
          <w:sz w:val="18"/>
          <w:lang w:val="en-GB"/>
        </w:rPr>
        <w:t>tion of terahertz radiation in a periodic graphene</w:t>
      </w:r>
      <w:r>
        <w:rPr>
          <w:rFonts w:ascii="Calibri" w:eastAsia="Calibri" w:hAnsi="Calibri" w:cs="Calibri"/>
          <w:bCs/>
          <w:sz w:val="18"/>
          <w:lang w:val="en-GB"/>
        </w:rPr>
        <w:t xml:space="preserve"> </w:t>
      </w:r>
      <w:r w:rsidRPr="00AC61E2">
        <w:rPr>
          <w:rFonts w:ascii="Calibri" w:eastAsia="Calibri" w:hAnsi="Calibri" w:cs="Calibri"/>
          <w:bCs/>
          <w:sz w:val="18"/>
          <w:lang w:val="en-GB"/>
        </w:rPr>
        <w:t>structure with the carrier injection</w:t>
      </w:r>
      <w:r>
        <w:rPr>
          <w:rFonts w:ascii="Calibri" w:eastAsia="Calibri" w:hAnsi="Calibri" w:cs="Calibri"/>
          <w:bCs/>
          <w:sz w:val="18"/>
        </w:rPr>
        <w:t xml:space="preserve">. Appl. Phys. Lett. </w:t>
      </w:r>
      <w:r w:rsidRPr="00AC61E2">
        <w:rPr>
          <w:rFonts w:ascii="Calibri" w:eastAsia="Calibri" w:hAnsi="Calibri" w:cs="Calibri"/>
          <w:b/>
          <w:bCs/>
          <w:sz w:val="18"/>
        </w:rPr>
        <w:t>111</w:t>
      </w:r>
      <w:r w:rsidRPr="00AC61E2">
        <w:rPr>
          <w:rFonts w:ascii="Calibri" w:eastAsia="Calibri" w:hAnsi="Calibri" w:cs="Calibri"/>
          <w:bCs/>
          <w:sz w:val="18"/>
        </w:rPr>
        <w:t xml:space="preserve"> 081110 (2017)</w:t>
      </w:r>
      <w:r>
        <w:rPr>
          <w:rFonts w:ascii="Calibri" w:eastAsia="Calibri" w:hAnsi="Calibri" w:cs="Calibri"/>
          <w:bCs/>
          <w:sz w:val="18"/>
        </w:rPr>
        <w:t>.</w:t>
      </w:r>
    </w:p>
    <w:p w14:paraId="590F356A" w14:textId="77777777" w:rsidR="00AC61E2" w:rsidRDefault="00AC61E2" w:rsidP="002E0B81">
      <w:pPr>
        <w:tabs>
          <w:tab w:val="left" w:pos="384"/>
        </w:tabs>
        <w:ind w:right="117"/>
        <w:rPr>
          <w:rFonts w:ascii="Calibri" w:eastAsia="Calibri" w:hAnsi="Calibri" w:cs="Calibri"/>
          <w:b/>
          <w:bCs/>
          <w:sz w:val="18"/>
          <w:lang w:val="en-GB"/>
        </w:rPr>
      </w:pPr>
    </w:p>
    <w:p w14:paraId="37810E95" w14:textId="77777777" w:rsidR="004A54B2" w:rsidRPr="002E0B81" w:rsidRDefault="002E0B81" w:rsidP="002E0B81">
      <w:pPr>
        <w:tabs>
          <w:tab w:val="left" w:pos="384"/>
        </w:tabs>
        <w:ind w:right="117"/>
        <w:rPr>
          <w:rFonts w:ascii="Calibri" w:eastAsia="Calibri" w:hAnsi="Calibri" w:cs="Calibri"/>
          <w:sz w:val="18"/>
          <w:lang w:val="en-GB"/>
        </w:rPr>
      </w:pPr>
      <w:r>
        <w:rPr>
          <w:rFonts w:ascii="Calibri" w:eastAsia="Calibri" w:hAnsi="Calibri" w:cs="Calibri"/>
          <w:b/>
          <w:bCs/>
          <w:sz w:val="18"/>
          <w:lang w:val="en-GB"/>
        </w:rPr>
        <w:t xml:space="preserve">Yadav D, Boubanga-Tombet S, </w:t>
      </w:r>
      <w:r>
        <w:rPr>
          <w:rFonts w:ascii="Calibri" w:eastAsia="Calibri" w:hAnsi="Calibri" w:cs="Calibri"/>
          <w:b/>
          <w:bCs/>
          <w:sz w:val="18"/>
        </w:rPr>
        <w:t xml:space="preserve">Watanabe T, Arnold S, </w:t>
      </w:r>
      <w:r>
        <w:rPr>
          <w:rFonts w:ascii="Calibri" w:eastAsia="Calibri" w:hAnsi="Calibri" w:cs="Calibri"/>
          <w:b/>
          <w:bCs/>
          <w:sz w:val="18"/>
          <w:lang w:eastAsia="ja-JP"/>
        </w:rPr>
        <w:t xml:space="preserve">Ryzhii V and </w:t>
      </w:r>
      <w:r>
        <w:rPr>
          <w:rFonts w:ascii="Calibri" w:eastAsia="Calibri" w:hAnsi="Calibri" w:cs="Calibri"/>
          <w:b/>
          <w:bCs/>
          <w:sz w:val="18"/>
          <w:lang w:val="en-GB"/>
        </w:rPr>
        <w:t>Otsuji T.</w:t>
      </w:r>
      <w:r w:rsidR="004A54B2" w:rsidRPr="004A54B2">
        <w:rPr>
          <w:rFonts w:ascii="Calibri" w:eastAsia="Calibri" w:hAnsi="Calibri" w:cs="Calibri"/>
          <w:b/>
          <w:bCs/>
          <w:sz w:val="18"/>
          <w:lang w:val="en-GB"/>
        </w:rPr>
        <w:t xml:space="preserve"> </w:t>
      </w:r>
      <w:r w:rsidRPr="002E0B81">
        <w:rPr>
          <w:rFonts w:ascii="Calibri" w:eastAsia="Calibri" w:hAnsi="Calibri" w:cs="Calibri"/>
          <w:sz w:val="18"/>
          <w:lang w:val="en-GB"/>
        </w:rPr>
        <w:t>Terahertz wave generation and detection in double-graphene layered</w:t>
      </w:r>
      <w:r>
        <w:rPr>
          <w:rFonts w:ascii="Calibri" w:eastAsia="Calibri" w:hAnsi="Calibri" w:cs="Calibri"/>
          <w:sz w:val="18"/>
          <w:lang w:val="en-GB"/>
        </w:rPr>
        <w:t xml:space="preserve"> </w:t>
      </w:r>
      <w:r w:rsidRPr="002E0B81">
        <w:rPr>
          <w:rFonts w:ascii="Calibri" w:eastAsia="Calibri" w:hAnsi="Calibri" w:cs="Calibri"/>
          <w:sz w:val="18"/>
          <w:lang w:val="en-GB"/>
        </w:rPr>
        <w:t>van der Waals heterostructures</w:t>
      </w:r>
      <w:r>
        <w:rPr>
          <w:rFonts w:ascii="Calibri" w:eastAsia="Calibri" w:hAnsi="Calibri" w:cs="Calibri"/>
          <w:sz w:val="18"/>
          <w:lang w:val="en-GB"/>
        </w:rPr>
        <w:t>.</w:t>
      </w:r>
      <w:r w:rsidR="004A54B2" w:rsidRPr="004A54B2">
        <w:rPr>
          <w:rFonts w:ascii="Calibri" w:eastAsia="Calibri" w:hAnsi="Calibri" w:cs="Calibri"/>
          <w:sz w:val="18"/>
          <w:lang w:val="en-GB"/>
        </w:rPr>
        <w:t xml:space="preserve"> </w:t>
      </w:r>
      <w:r>
        <w:rPr>
          <w:rFonts w:ascii="Calibri" w:eastAsia="Calibri" w:hAnsi="Calibri" w:cs="Calibri"/>
          <w:sz w:val="18"/>
          <w:lang w:val="en-GB"/>
        </w:rPr>
        <w:t xml:space="preserve">2D Mater. </w:t>
      </w:r>
      <w:r>
        <w:rPr>
          <w:rFonts w:ascii="Calibri" w:eastAsia="Calibri" w:hAnsi="Calibri" w:cs="Calibri"/>
          <w:b/>
          <w:sz w:val="18"/>
          <w:lang w:val="en-GB"/>
        </w:rPr>
        <w:t>3</w:t>
      </w:r>
      <w:r>
        <w:rPr>
          <w:rFonts w:ascii="Calibri" w:eastAsia="Calibri" w:hAnsi="Calibri" w:cs="Calibri"/>
          <w:sz w:val="18"/>
          <w:lang w:val="en-GB"/>
        </w:rPr>
        <w:t xml:space="preserve"> 045009 (2016).</w:t>
      </w:r>
    </w:p>
    <w:p w14:paraId="6D193342" w14:textId="77777777" w:rsidR="004A54B2" w:rsidRPr="004A54B2" w:rsidRDefault="004A54B2" w:rsidP="004A54B2">
      <w:pPr>
        <w:tabs>
          <w:tab w:val="left" w:pos="384"/>
        </w:tabs>
        <w:ind w:right="117"/>
        <w:rPr>
          <w:rFonts w:ascii="Calibri" w:eastAsia="Calibri" w:hAnsi="Calibri" w:cs="Calibri"/>
          <w:sz w:val="18"/>
          <w:lang w:val="en-GB"/>
        </w:rPr>
      </w:pPr>
    </w:p>
    <w:p w14:paraId="7AD04F9A" w14:textId="77777777" w:rsidR="004A54B2" w:rsidRPr="002E0B81" w:rsidRDefault="002E0B81" w:rsidP="004A54B2">
      <w:pPr>
        <w:tabs>
          <w:tab w:val="left" w:pos="384"/>
        </w:tabs>
        <w:ind w:right="117"/>
        <w:rPr>
          <w:rFonts w:ascii="Calibri" w:eastAsia="Calibri" w:hAnsi="Calibri" w:cs="Calibri"/>
          <w:b/>
          <w:sz w:val="18"/>
          <w:lang w:eastAsia="ja-JP"/>
        </w:rPr>
      </w:pPr>
      <w:r>
        <w:rPr>
          <w:rFonts w:ascii="Calibri" w:eastAsia="Calibri" w:hAnsi="Calibri" w:cs="Calibri"/>
          <w:b/>
          <w:bCs/>
          <w:sz w:val="18"/>
          <w:lang w:val="en-GB"/>
        </w:rPr>
        <w:t xml:space="preserve">Koseki Y, </w:t>
      </w:r>
      <w:r>
        <w:rPr>
          <w:rFonts w:ascii="Calibri" w:eastAsia="Calibri" w:hAnsi="Calibri" w:cs="Calibri"/>
          <w:b/>
          <w:bCs/>
          <w:sz w:val="18"/>
        </w:rPr>
        <w:t>Otsuji T, Popov VV and Satou A.</w:t>
      </w:r>
      <w:r w:rsidRPr="002E0B81">
        <w:rPr>
          <w:rFonts w:ascii="Calibri" w:eastAsia="Calibri" w:hAnsi="Calibri" w:cs="Calibri"/>
          <w:bCs/>
          <w:sz w:val="18"/>
        </w:rPr>
        <w:t xml:space="preserve"> Giant plasmon instability in a dual-grating-gate graphene field-effect transistor</w:t>
      </w:r>
      <w:r>
        <w:rPr>
          <w:rFonts w:ascii="Calibri" w:eastAsia="Calibri" w:hAnsi="Calibri" w:cs="Calibri"/>
          <w:bCs/>
          <w:sz w:val="18"/>
        </w:rPr>
        <w:t xml:space="preserve">. Phys. Rev. B </w:t>
      </w:r>
      <w:r w:rsidRPr="002E0B81">
        <w:rPr>
          <w:rFonts w:ascii="Calibri" w:eastAsia="Calibri" w:hAnsi="Calibri" w:cs="Calibri"/>
          <w:b/>
          <w:bCs/>
          <w:sz w:val="18"/>
        </w:rPr>
        <w:t>93</w:t>
      </w:r>
      <w:r w:rsidRPr="002E0B81">
        <w:rPr>
          <w:rFonts w:ascii="Calibri" w:eastAsia="Calibri" w:hAnsi="Calibri" w:cs="Calibri"/>
          <w:bCs/>
          <w:sz w:val="18"/>
        </w:rPr>
        <w:t xml:space="preserve"> 245408 (2016)</w:t>
      </w:r>
      <w:r>
        <w:rPr>
          <w:rFonts w:ascii="Calibri" w:eastAsia="Calibri" w:hAnsi="Calibri" w:cs="Calibri"/>
          <w:bCs/>
          <w:sz w:val="18"/>
        </w:rPr>
        <w:t>.</w:t>
      </w:r>
    </w:p>
    <w:p w14:paraId="248AC50D" w14:textId="77777777" w:rsidR="00EE06EF" w:rsidRDefault="00EE06EF" w:rsidP="004A54B2">
      <w:pPr>
        <w:tabs>
          <w:tab w:val="left" w:pos="384"/>
        </w:tabs>
        <w:ind w:right="117"/>
        <w:rPr>
          <w:rFonts w:ascii="Calibri" w:eastAsia="Calibri" w:hAnsi="Calibri" w:cs="Calibri"/>
          <w:sz w:val="18"/>
          <w:lang w:val="en-GB"/>
        </w:rPr>
      </w:pPr>
    </w:p>
    <w:p w14:paraId="7AB6522B" w14:textId="77777777" w:rsidR="00AE3E37" w:rsidRDefault="002E0B81" w:rsidP="002E0B81">
      <w:pPr>
        <w:tabs>
          <w:tab w:val="left" w:pos="384"/>
        </w:tabs>
        <w:ind w:right="117"/>
        <w:rPr>
          <w:rFonts w:ascii="Calibri" w:eastAsia="Calibri" w:hAnsi="Calibri" w:cs="Calibri"/>
          <w:sz w:val="18"/>
        </w:rPr>
      </w:pPr>
      <w:r>
        <w:rPr>
          <w:rFonts w:ascii="Calibri" w:eastAsia="Calibri" w:hAnsi="Calibri" w:cs="Calibri"/>
          <w:b/>
          <w:bCs/>
          <w:sz w:val="18"/>
          <w:lang w:val="en-GB"/>
        </w:rPr>
        <w:t>Watanabe T, Fukusima T, Yabe Y, Boubanga-Tombet SA, Satou A, Dubinov AA, Ya Aleshukin V, Mitin V, Ryzhii V and Otsuji T.</w:t>
      </w:r>
      <w:r w:rsidR="004A54B2" w:rsidRPr="004A54B2">
        <w:rPr>
          <w:rFonts w:ascii="Calibri" w:eastAsia="Calibri" w:hAnsi="Calibri" w:cs="Calibri"/>
          <w:b/>
          <w:bCs/>
          <w:sz w:val="18"/>
          <w:lang w:val="en-GB"/>
        </w:rPr>
        <w:t xml:space="preserve"> </w:t>
      </w:r>
      <w:r w:rsidRPr="002E0B81">
        <w:rPr>
          <w:rFonts w:ascii="Calibri" w:eastAsia="Calibri" w:hAnsi="Calibri" w:cs="Calibri"/>
          <w:sz w:val="18"/>
          <w:lang w:val="en-GB"/>
        </w:rPr>
        <w:t>The gain enhancement effect of surface plasmon</w:t>
      </w:r>
      <w:r>
        <w:rPr>
          <w:rFonts w:ascii="Calibri" w:eastAsia="Calibri" w:hAnsi="Calibri" w:cs="Calibri"/>
          <w:sz w:val="18"/>
          <w:lang w:val="en-GB"/>
        </w:rPr>
        <w:t xml:space="preserve"> </w:t>
      </w:r>
      <w:r w:rsidRPr="002E0B81">
        <w:rPr>
          <w:rFonts w:ascii="Calibri" w:eastAsia="Calibri" w:hAnsi="Calibri" w:cs="Calibri"/>
          <w:sz w:val="18"/>
          <w:lang w:val="en-GB"/>
        </w:rPr>
        <w:t>polaritons on terahertz stim</w:t>
      </w:r>
      <w:r w:rsidRPr="002E0B81">
        <w:rPr>
          <w:rFonts w:ascii="Calibri" w:eastAsia="Calibri" w:hAnsi="Calibri" w:cs="Calibri"/>
          <w:sz w:val="18"/>
          <w:lang w:val="en-GB"/>
        </w:rPr>
        <w:t>u</w:t>
      </w:r>
      <w:r w:rsidRPr="002E0B81">
        <w:rPr>
          <w:rFonts w:ascii="Calibri" w:eastAsia="Calibri" w:hAnsi="Calibri" w:cs="Calibri"/>
          <w:sz w:val="18"/>
          <w:lang w:val="en-GB"/>
        </w:rPr>
        <w:t>lated emission in</w:t>
      </w:r>
      <w:r>
        <w:rPr>
          <w:rFonts w:ascii="Calibri" w:eastAsia="Calibri" w:hAnsi="Calibri" w:cs="Calibri"/>
          <w:sz w:val="18"/>
          <w:lang w:val="en-GB"/>
        </w:rPr>
        <w:t xml:space="preserve"> </w:t>
      </w:r>
      <w:r w:rsidRPr="002E0B81">
        <w:rPr>
          <w:rFonts w:ascii="Calibri" w:eastAsia="Calibri" w:hAnsi="Calibri" w:cs="Calibri"/>
          <w:sz w:val="18"/>
          <w:lang w:val="en-GB"/>
        </w:rPr>
        <w:t>optically pumped monolayer graphene</w:t>
      </w:r>
      <w:r>
        <w:rPr>
          <w:rFonts w:ascii="Calibri" w:eastAsia="Calibri" w:hAnsi="Calibri" w:cs="Calibri"/>
          <w:sz w:val="18"/>
          <w:lang w:val="en-GB"/>
        </w:rPr>
        <w:t xml:space="preserve">. New J. Phys. </w:t>
      </w:r>
      <w:r>
        <w:rPr>
          <w:rFonts w:ascii="Calibri" w:eastAsia="Calibri" w:hAnsi="Calibri" w:cs="Calibri"/>
          <w:b/>
          <w:sz w:val="18"/>
        </w:rPr>
        <w:t>15</w:t>
      </w:r>
      <w:r>
        <w:rPr>
          <w:rFonts w:ascii="Calibri" w:eastAsia="Calibri" w:hAnsi="Calibri" w:cs="Calibri"/>
          <w:sz w:val="18"/>
        </w:rPr>
        <w:t xml:space="preserve"> 075003 (2013).</w:t>
      </w:r>
    </w:p>
    <w:p w14:paraId="3F7B42A4" w14:textId="77777777" w:rsidR="002E0B81" w:rsidRDefault="002E0B81" w:rsidP="002E0B81">
      <w:pPr>
        <w:tabs>
          <w:tab w:val="left" w:pos="384"/>
        </w:tabs>
        <w:ind w:right="117"/>
        <w:rPr>
          <w:rFonts w:ascii="Calibri" w:eastAsia="Calibri" w:hAnsi="Calibri" w:cs="Calibri"/>
          <w:sz w:val="18"/>
        </w:rPr>
      </w:pPr>
    </w:p>
    <w:p w14:paraId="76B873B4" w14:textId="77777777" w:rsidR="002E0B81" w:rsidRPr="00AC61E2" w:rsidRDefault="00AC61E2" w:rsidP="00AC61E2">
      <w:pPr>
        <w:tabs>
          <w:tab w:val="left" w:pos="384"/>
        </w:tabs>
        <w:ind w:right="117"/>
        <w:rPr>
          <w:rFonts w:ascii="Calibri" w:eastAsia="Calibri" w:hAnsi="Calibri" w:cs="Calibri"/>
          <w:sz w:val="18"/>
          <w:lang w:eastAsia="ja-JP"/>
        </w:rPr>
      </w:pPr>
      <w:r>
        <w:rPr>
          <w:rFonts w:ascii="Calibri" w:eastAsia="Calibri" w:hAnsi="Calibri" w:cs="Calibri"/>
          <w:b/>
          <w:sz w:val="18"/>
          <w:lang w:eastAsia="ja-JP"/>
        </w:rPr>
        <w:t xml:space="preserve">Ryzhii V, Dubinov AA, Otsuji T, Ya Aleshkin V, Ryzhii M and Shur M. </w:t>
      </w:r>
      <w:r w:rsidRPr="00AC61E2">
        <w:rPr>
          <w:rFonts w:ascii="Calibri" w:eastAsia="Calibri" w:hAnsi="Calibri" w:cs="Calibri"/>
          <w:sz w:val="18"/>
          <w:lang w:eastAsia="ja-JP"/>
        </w:rPr>
        <w:t>Double-graphene-layer terahertz laser:</w:t>
      </w:r>
      <w:r>
        <w:rPr>
          <w:rFonts w:ascii="Calibri" w:eastAsia="Calibri" w:hAnsi="Calibri" w:cs="Calibri"/>
          <w:sz w:val="18"/>
          <w:lang w:eastAsia="ja-JP"/>
        </w:rPr>
        <w:t xml:space="preserve"> </w:t>
      </w:r>
      <w:r w:rsidRPr="00AC61E2">
        <w:rPr>
          <w:rFonts w:ascii="Calibri" w:eastAsia="Calibri" w:hAnsi="Calibri" w:cs="Calibri"/>
          <w:sz w:val="18"/>
          <w:lang w:eastAsia="ja-JP"/>
        </w:rPr>
        <w:t>concept, characteristics, and comparison</w:t>
      </w:r>
      <w:r>
        <w:rPr>
          <w:rFonts w:ascii="Calibri" w:eastAsia="Calibri" w:hAnsi="Calibri" w:cs="Calibri"/>
          <w:sz w:val="18"/>
          <w:lang w:eastAsia="ja-JP"/>
        </w:rPr>
        <w:t xml:space="preserve">. Opt. Exp. </w:t>
      </w:r>
      <w:r>
        <w:rPr>
          <w:rFonts w:ascii="Calibri" w:eastAsia="Calibri" w:hAnsi="Calibri" w:cs="Calibri"/>
          <w:b/>
          <w:sz w:val="18"/>
          <w:lang w:eastAsia="ja-JP"/>
        </w:rPr>
        <w:t>21</w:t>
      </w:r>
      <w:r>
        <w:rPr>
          <w:rFonts w:ascii="Calibri" w:eastAsia="Calibri" w:hAnsi="Calibri" w:cs="Calibri"/>
          <w:sz w:val="18"/>
          <w:lang w:eastAsia="ja-JP"/>
        </w:rPr>
        <w:t xml:space="preserve"> 31569 (2013).</w:t>
      </w:r>
    </w:p>
    <w:p w14:paraId="1D3BB056"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5E8951B" w14:textId="77777777" w:rsidR="00AE3E37" w:rsidRDefault="00AE3E37">
      <w:pPr>
        <w:pStyle w:val="a3"/>
        <w:rPr>
          <w:rFonts w:ascii="Calibri"/>
          <w:sz w:val="20"/>
        </w:rPr>
      </w:pPr>
    </w:p>
    <w:p w14:paraId="16ACF9B0" w14:textId="16C73CD3" w:rsidR="00AE3E37" w:rsidRDefault="007E2347">
      <w:pPr>
        <w:pStyle w:val="a3"/>
        <w:spacing w:line="40" w:lineRule="exact"/>
        <w:ind w:left="2202"/>
        <w:rPr>
          <w:rFonts w:ascii="Calibri"/>
          <w:sz w:val="4"/>
        </w:rPr>
      </w:pPr>
      <w:r>
        <w:rPr>
          <w:noProof/>
          <w:lang w:eastAsia="ja-JP"/>
        </w:rPr>
        <mc:AlternateContent>
          <mc:Choice Requires="wpg">
            <w:drawing>
              <wp:inline distT="0" distB="0" distL="0" distR="0" wp14:anchorId="0DD14AAD" wp14:editId="65660B2A">
                <wp:extent cx="3975735" cy="25400"/>
                <wp:effectExtent l="0" t="0" r="12065"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iiuWUCAABLBQAADgAAAGRycy9lMm9Eb2MueG1spFTLbtswELwX6D8Qujt6WFZswXJQ+JFL2hpI&#10;+wE0SUlEKZIgGctB0X/vkpKdOjm0SC8Sl7sc7s7scnl36gQ6MmO5klWU3iQRYpIoymVTRd+/7Sbz&#10;CFmHJcVCSVZFz8xGd6uPH5a9LlmmWiUoMwhApC17XUWtc7qMY0ta1mF7ozST4KyV6bAD0zQxNbgH&#10;9E7EWZIUca8M1UYRZi3sbgZntAr4dc2I+1rXljkkqghyc+Frwvfgv/FqicvGYN1yMqaB35FFh7mE&#10;Sy9QG+wwejL8DVTHiVFW1e6GqC5Wdc0JCzVANWnyqpp7o550qKUp+0ZfaAJqX/H0bljy5bg3iFPQ&#10;Lo+QxB1oFK5Fueem100JIfdGP+q9GQqE5YMiPyy449d+bzdDMDr0nxUFOPzkVODmVJvOQ0DV6BQk&#10;eL5IwE4OEdicLm5nt9NZhAj4slmejBKRFnR8c4q02/FckRXpcCgPJ2JcDteFFMeUfD3QZvaFSft/&#10;TD62WLMgkPU0nZmE9AcmH7hkaDYQGSLWcm8Crba0QOhfOcqgZz0RIwtnloosG6u9LhaX2lh3z1SH&#10;/KKKBCQQuMfHB+u8Yi8hXgqpdlwI2MelkKg/U+5tqwSn3hsM0xzWwqAj9nOU5Mn8fPFVGPSrpAGt&#10;ZZhux7XDXAxruF1IjweFQD7jahiUn4tksZ1v5/kkz4rtJE8onXzarfNJsUtvZ5vpZr3epL98MWle&#10;tpxSJn1256FN83+Tcnw+hnG7jO2Fh/gaPRAGyZ7/IWloqUG+oZ8Oij4HVcM+dNc4FzCx4dj4uvgn&#10;4U87RL28gavfAA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Pq4orllAgAASwUAAA4AAAAAAAAAAAAAAAAALAIAAGRycy9lMm9E&#10;b2MueG1sUEsBAi0AFAAGAAgAAAAhANJJbznbAAAAAwEAAA8AAAAAAAAAAAAAAAAAvQQAAGRycy9k&#10;b3ducmV2LnhtbFBLBQYAAAAABAAEAPMAAADFBQ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04F3965B" w14:textId="348FCD0A" w:rsidR="00AE3E37" w:rsidRDefault="008756E6" w:rsidP="00404E5B">
      <w:pPr>
        <w:spacing w:before="92"/>
        <w:ind w:right="4234"/>
        <w:rPr>
          <w:rFonts w:ascii="Arial"/>
        </w:rPr>
      </w:pPr>
      <w:r>
        <w:rPr>
          <w:noProof/>
        </w:rPr>
        <w:t xml:space="preserve">              </w:t>
      </w:r>
      <w:r w:rsidR="007E2347">
        <w:rPr>
          <w:b/>
          <w:noProof/>
          <w:lang w:eastAsia="ja-JP"/>
        </w:rPr>
        <w:drawing>
          <wp:inline distT="0" distB="0" distL="0" distR="0" wp14:anchorId="453E4E30" wp14:editId="4939416D">
            <wp:extent cx="622935" cy="622935"/>
            <wp:effectExtent l="0" t="0" r="12065" b="12065"/>
            <wp:docPr id="4" name="図 2" descr="説明: T. Otsuj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 descr="説明: T. Otsuji.jpg"/>
                    <pic:cNvPicPr>
                      <a:picLocks noChangeAspect="1" noChangeArrowheads="1"/>
                    </pic:cNvPicPr>
                  </pic:nvPicPr>
                  <pic:blipFill>
                    <a:blip r:embed="rId10" cstate="print">
                      <a:extLst>
                        <a:ext uri="{28A0092B-C50C-407E-A947-70E740481C1C}">
                          <a14:useLocalDpi xmlns:a14="http://schemas.microsoft.com/office/drawing/2010/main" val="0"/>
                        </a:ext>
                      </a:extLst>
                    </a:blip>
                    <a:srcRect t="6303" b="13295"/>
                    <a:stretch>
                      <a:fillRect/>
                    </a:stretch>
                  </pic:blipFill>
                  <pic:spPr bwMode="auto">
                    <a:xfrm>
                      <a:off x="0" y="0"/>
                      <a:ext cx="622935" cy="622935"/>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0FDBC421" w14:textId="77777777" w:rsidR="00AE3E37" w:rsidRDefault="0056295D">
      <w:pPr>
        <w:spacing w:before="41" w:line="154" w:lineRule="exact"/>
        <w:ind w:left="213" w:right="231"/>
        <w:jc w:val="both"/>
        <w:rPr>
          <w:rFonts w:ascii="Arial"/>
          <w:sz w:val="14"/>
        </w:rPr>
      </w:pPr>
      <w:r w:rsidRPr="0056295D">
        <w:rPr>
          <w:rFonts w:ascii="Arial"/>
          <w:sz w:val="14"/>
        </w:rPr>
        <w:t xml:space="preserve">Taiichi Otsuji is a professor at the Research Institute of Electrical Communication (RIEC), Tohoku University, Sendai, Japan. He received the Ph.D </w:t>
      </w:r>
      <w:r>
        <w:rPr>
          <w:rFonts w:ascii="Arial"/>
          <w:sz w:val="14"/>
        </w:rPr>
        <w:t xml:space="preserve">degree </w:t>
      </w:r>
      <w:r w:rsidRPr="0056295D">
        <w:rPr>
          <w:rFonts w:ascii="Arial"/>
          <w:sz w:val="14"/>
        </w:rPr>
        <w:t>in electr</w:t>
      </w:r>
      <w:r w:rsidRPr="0056295D">
        <w:rPr>
          <w:rFonts w:ascii="Arial"/>
          <w:sz w:val="14"/>
        </w:rPr>
        <w:t>o</w:t>
      </w:r>
      <w:r w:rsidRPr="0056295D">
        <w:rPr>
          <w:rFonts w:ascii="Arial"/>
          <w:sz w:val="14"/>
        </w:rPr>
        <w:t>nic engineering from Tokyo Institute of Technology, Tokyo, Japan in 1994. From 1984 to 1999 he worked for NTT Laboratories, Kanagawa, Japan. In 1999 he joined Kyushu Institute of Technology. He joined RIEC, Tohoku University, in 2005. His current research interests include terahertz electronic, photonic and plasmonic m</w:t>
      </w:r>
      <w:r w:rsidRPr="0056295D">
        <w:rPr>
          <w:rFonts w:ascii="Arial"/>
          <w:sz w:val="14"/>
        </w:rPr>
        <w:t>a</w:t>
      </w:r>
      <w:r w:rsidRPr="0056295D">
        <w:rPr>
          <w:rFonts w:ascii="Arial"/>
          <w:sz w:val="14"/>
        </w:rPr>
        <w:t xml:space="preserve">terials/devices and their applications. He has authored and co-authored 250 peer-reviewed journal papers and more than 150 invited presentations in academic </w:t>
      </w:r>
      <w:r>
        <w:rPr>
          <w:rFonts w:ascii="Arial"/>
          <w:sz w:val="14"/>
        </w:rPr>
        <w:t>i</w:t>
      </w:r>
      <w:r>
        <w:rPr>
          <w:rFonts w:ascii="Arial"/>
          <w:sz w:val="14"/>
        </w:rPr>
        <w:t>n</w:t>
      </w:r>
      <w:r>
        <w:rPr>
          <w:rFonts w:ascii="Arial"/>
          <w:sz w:val="14"/>
        </w:rPr>
        <w:t xml:space="preserve">ternational </w:t>
      </w:r>
      <w:r w:rsidRPr="0056295D">
        <w:rPr>
          <w:rFonts w:ascii="Arial"/>
          <w:sz w:val="14"/>
        </w:rPr>
        <w:t xml:space="preserve">conferences. He was awarded the Outstanding Paper Award of the 1997 IEEE </w:t>
      </w:r>
      <w:r>
        <w:rPr>
          <w:rFonts w:ascii="Arial"/>
          <w:sz w:val="14"/>
        </w:rPr>
        <w:t xml:space="preserve">GaAs IC Symposium, and has served as </w:t>
      </w:r>
      <w:r w:rsidRPr="0056295D">
        <w:rPr>
          <w:rFonts w:ascii="Arial"/>
          <w:sz w:val="14"/>
        </w:rPr>
        <w:t>an IEEE Electron Device Society Distinguished Lecturer since 2013.  He is a Fellow of the IEEE, OSA and JSAP, and a member of the MRS, SPIE, and IEICE.</w:t>
      </w:r>
      <w:r w:rsidR="00C938CB">
        <w:rPr>
          <w:rFonts w:ascii="Arial"/>
          <w:sz w:val="14"/>
        </w:rPr>
        <w:t xml:space="preserve"> </w:t>
      </w:r>
    </w:p>
    <w:p w14:paraId="7CFFD9C3" w14:textId="77777777" w:rsidR="00AE3E37" w:rsidRDefault="00A9710C">
      <w:pPr>
        <w:spacing w:before="62"/>
        <w:ind w:left="4217" w:right="4235"/>
        <w:jc w:val="center"/>
        <w:rPr>
          <w:rFonts w:ascii="Arial"/>
          <w:sz w:val="14"/>
        </w:rPr>
      </w:pPr>
      <w:r>
        <w:rPr>
          <w:rFonts w:ascii="Arial"/>
          <w:sz w:val="14"/>
        </w:rPr>
        <w:t xml:space="preserve">Email: </w:t>
      </w:r>
      <w:hyperlink r:id="rId11" w:history="1">
        <w:r w:rsidR="00EE06EF">
          <w:rPr>
            <w:rStyle w:val="ac"/>
            <w:rFonts w:ascii="Arial"/>
            <w:sz w:val="14"/>
          </w:rPr>
          <w:t>otsuji</w:t>
        </w:r>
        <w:r w:rsidR="008756E6" w:rsidRPr="00616076">
          <w:rPr>
            <w:rStyle w:val="ac"/>
            <w:rFonts w:ascii="Arial"/>
            <w:sz w:val="14"/>
          </w:rPr>
          <w:t>@</w:t>
        </w:r>
        <w:r w:rsidR="00EE06EF">
          <w:rPr>
            <w:rStyle w:val="ac"/>
            <w:rFonts w:ascii="Arial"/>
            <w:sz w:val="14"/>
          </w:rPr>
          <w:t>riec.tohoku.ac.jp</w:t>
        </w:r>
      </w:hyperlink>
    </w:p>
    <w:p w14:paraId="7E51FB62" w14:textId="47F08FF2" w:rsidR="00AE3E37" w:rsidRDefault="007E2347">
      <w:pPr>
        <w:pStyle w:val="a3"/>
        <w:spacing w:before="2"/>
        <w:rPr>
          <w:rFonts w:ascii="Arial"/>
          <w:sz w:val="19"/>
        </w:rPr>
      </w:pPr>
      <w:r>
        <w:rPr>
          <w:noProof/>
          <w:lang w:eastAsia="ja-JP"/>
        </w:rPr>
        <mc:AlternateContent>
          <mc:Choice Requires="wps">
            <w:drawing>
              <wp:anchor distT="4294967295" distB="4294967295" distL="0" distR="0" simplePos="0" relativeHeight="251657216" behindDoc="0" locked="0" layoutInCell="1" allowOverlap="1" wp14:anchorId="024A6A92" wp14:editId="60020116">
                <wp:simplePos x="0" y="0"/>
                <wp:positionH relativeFrom="page">
                  <wp:posOffset>2058670</wp:posOffset>
                </wp:positionH>
                <wp:positionV relativeFrom="paragraph">
                  <wp:posOffset>168274</wp:posOffset>
                </wp:positionV>
                <wp:extent cx="3442335" cy="0"/>
                <wp:effectExtent l="0" t="0" r="37465" b="2540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251657216;visibility:visible;mso-wrap-style:square;mso-width-percent:0;mso-height-percent:0;mso-wrap-distance-left:0;mso-wrap-distance-top:-1emu;mso-wrap-distance-right:0;mso-wrap-distance-bottom:-1emu;mso-position-horizontal:absolute;mso-position-horizontal-relative:page;mso-position-vertical:absolute;mso-position-vertical-relative:text;mso-width-percent:0;mso-height-percent:0;mso-width-relative:page;mso-height-relative:page" from="162.1pt,13.25pt" to="433.15pt,13.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HL1iBMCAAApBAAADgAAAGRycy9lMm9Eb2MueG1srFPBjtowEL1X6j9YvkMSEigbEVZVgF5oi7Tb&#10;DzC2Q6w6tmUbAqr67x0bgpb2UlW9OON45vnNvOfF87mT6MStE1pVOBunGHFFNRPqUOFvr5vRHCPn&#10;iWJEasUrfOEOPy/fv1v0puQT3WrJuEUAolzZmwq33psySRxteUfcWBuu4LDRtiMetvaQMEt6QO9k&#10;MknTWdJry4zVlDsHf1fXQ7yM+E3Dqf/aNI57JCsM3HxcbVz3YU2WC1IeLDGtoDca5B9YdEQouPQO&#10;tSKeoKMVf0B1glrtdOPHVHeJbhpBeewBusnS37p5aYnhsRcYjjP3Mbn/B0u/nHYWCQba5Rgp0oFG&#10;W6E4ysNoeuNKyKjVzobm6Fm9mK2m3x1Sum6JOvBI8fVioCwLFclDSdg4Axfs+8+aQQ45eh3ndG5s&#10;FyBhAugc5bjc5eBnjyj8zItikudTjOhwlpByKDTW+U9cdygEFZbAOQKT09b5QISUQ0q4R+mNkDKq&#10;LRXqKzzLp2kscFoKFg5DmrOHfS0tOpHgl7RI59EiAPaQZvVRsQjWcsLWt9gTIa8x5EsV8KAVoHOL&#10;rob48ZQ+refreTEqJrP1qEgZG33c1MVotsk+TFf5qq5X2c9ALSvKVjDGVWA3mDMr/k782zO52upu&#10;z/sYkkf0OC8gO3wj6ahlkO9qhL1ml50dNAY/xuTb2wmGf7uH+O0LX/4CAAD//wMAUEsDBBQABgAI&#10;AAAAIQAvhu4H3QAAAAkBAAAPAAAAZHJzL2Rvd25yZXYueG1sTI/BTsMwDIbvSLxDZCQuiKWktOpK&#10;0wkh4MIBbfAAbuO1FY1TNdlW3p4gDuxo+9Pv7682ix3FkWY/ONZwt0pAELfODNxp+Px4uS1A+IBs&#10;cHRMGr7Jw6a+vKiwNO7EWzruQidiCPsSNfQhTKWUvu3Jol+5iTje9m62GOI4d9LMeIrhdpQqSXJp&#10;ceD4oceJnnpqv3YHq+FtRK8W9dxk25shLbJ3u3b4qvX11fL4ACLQEv5h+NWP6lBHp8Yd2HgxakjV&#10;vYqoBpVnICJQ5HkKovlbyLqS5w3qHwAAAP//AwBQSwECLQAUAAYACAAAACEA5JnDwPsAAADhAQAA&#10;EwAAAAAAAAAAAAAAAAAAAAAAW0NvbnRlbnRfVHlwZXNdLnhtbFBLAQItABQABgAIAAAAIQAjsmrh&#10;1wAAAJQBAAALAAAAAAAAAAAAAAAAACwBAABfcmVscy8ucmVsc1BLAQItABQABgAIAAAAIQCIcvWI&#10;EwIAACkEAAAOAAAAAAAAAAAAAAAAACwCAABkcnMvZTJvRG9jLnhtbFBLAQItABQABgAIAAAAIQAv&#10;hu4H3QAAAAkBAAAPAAAAAAAAAAAAAAAAAGsEAABkcnMvZG93bnJldi54bWxQSwUGAAAAAAQABADz&#10;AAAAdQUAAAAA&#10;" strokecolor="#004080" strokeweight=".5pt">
                <w10:wrap type="topAndBottom" anchorx="page"/>
              </v:line>
            </w:pict>
          </mc:Fallback>
        </mc:AlternateContent>
      </w:r>
    </w:p>
    <w:p w14:paraId="2A25CE06" w14:textId="77777777" w:rsidR="00AE3E37" w:rsidRDefault="00AE3E37">
      <w:pPr>
        <w:pStyle w:val="a3"/>
        <w:rPr>
          <w:rFonts w:ascii="Arial"/>
          <w:sz w:val="20"/>
        </w:rPr>
      </w:pPr>
    </w:p>
    <w:p w14:paraId="075D738E" w14:textId="77777777" w:rsidR="00AE3E37" w:rsidRDefault="00AE3E37">
      <w:pPr>
        <w:pStyle w:val="a3"/>
        <w:rPr>
          <w:rFonts w:ascii="Arial"/>
          <w:sz w:val="20"/>
        </w:rPr>
      </w:pPr>
    </w:p>
    <w:p w14:paraId="2726CAFB" w14:textId="77777777" w:rsidR="00AE3E37" w:rsidRDefault="00AE3E37">
      <w:pPr>
        <w:pStyle w:val="a3"/>
        <w:spacing w:before="7"/>
        <w:rPr>
          <w:rFonts w:ascii="Arial"/>
          <w:sz w:val="29"/>
        </w:rPr>
      </w:pPr>
    </w:p>
    <w:p w14:paraId="1645C219" w14:textId="77777777" w:rsidR="00AE3E37" w:rsidRPr="00B21A57" w:rsidRDefault="00A9710C">
      <w:pPr>
        <w:spacing w:before="39"/>
        <w:ind w:left="100"/>
        <w:rPr>
          <w:rFonts w:ascii="Minion Pro"/>
          <w:b/>
          <w:sz w:val="20"/>
        </w:rPr>
      </w:pPr>
      <w:r w:rsidRPr="00B21A57">
        <w:rPr>
          <w:rFonts w:ascii="Minion Pro"/>
          <w:b/>
          <w:sz w:val="20"/>
        </w:rPr>
        <w:t>Notes/Comments:</w:t>
      </w:r>
    </w:p>
    <w:p w14:paraId="0D33F46E"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D34CE0B" w14:textId="77777777"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E66C71" w14:textId="77777777" w:rsidR="0056295D" w:rsidRDefault="0056295D">
      <w:r>
        <w:separator/>
      </w:r>
    </w:p>
  </w:endnote>
  <w:endnote w:type="continuationSeparator" w:id="0">
    <w:p w14:paraId="52556A2E" w14:textId="77777777" w:rsidR="0056295D" w:rsidRDefault="005629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ＭＳ 明朝">
    <w:panose1 w:val="02020609040205080304"/>
    <w:charset w:val="4E"/>
    <w:family w:val="auto"/>
    <w:pitch w:val="variable"/>
    <w:sig w:usb0="E00002FF" w:usb1="6AC7FDFB" w:usb2="00000012" w:usb3="00000000" w:csb0="0002009F" w:csb1="00000000"/>
  </w:font>
  <w:font w:name="Gautami">
    <w:panose1 w:val="00000000000000000000"/>
    <w:charset w:val="01"/>
    <w:family w:val="roman"/>
    <w:notTrueType/>
    <w:pitch w:val="variable"/>
  </w:font>
  <w:font w:name="Tw Cen MT">
    <w:panose1 w:val="020B0602020104020603"/>
    <w:charset w:val="00"/>
    <w:family w:val="auto"/>
    <w:pitch w:val="variable"/>
    <w:sig w:usb0="00000003" w:usb1="00000000" w:usb2="00000000" w:usb3="00000000" w:csb0="00000003" w:csb1="00000000"/>
  </w:font>
  <w:font w:name="Minion Pro">
    <w:panose1 w:val="02040503050306020203"/>
    <w:charset w:val="00"/>
    <w:family w:val="auto"/>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yriad Pro">
    <w:panose1 w:val="020B0503030403020204"/>
    <w:charset w:val="00"/>
    <w:family w:val="auto"/>
    <w:pitch w:val="variable"/>
    <w:sig w:usb0="20000287"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 ?? ?????">
    <w:panose1 w:val="02000500000000000000"/>
    <w:charset w:val="00"/>
    <w:family w:val="auto"/>
    <w:pitch w:val="variable"/>
    <w:sig w:usb0="000002C7" w:usb1="2AC71C10" w:usb2="00000012" w:usb3="00000000" w:csb0="0002000D" w:csb1="00000000"/>
  </w:font>
  <w:font w:name="ＭＳ ゴシック">
    <w:panose1 w:val="020B0609070205080204"/>
    <w:charset w:val="4E"/>
    <w:family w:val="auto"/>
    <w:pitch w:val="variable"/>
    <w:sig w:usb0="E00002FF" w:usb1="6AC7FDFB" w:usb2="00000012" w:usb3="00000000" w:csb0="0002009F" w:csb1="00000000"/>
  </w:font>
  <w:font w:name="Century">
    <w:panose1 w:val="02040604050505020304"/>
    <w:charset w:val="00"/>
    <w:family w:val="auto"/>
    <w:pitch w:val="variable"/>
    <w:sig w:usb0="00000287" w:usb1="00000000" w:usb2="00000000" w:usb3="00000000" w:csb0="0000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865BD0" w14:textId="7460EF4E" w:rsidR="0056295D" w:rsidRDefault="007E2347">
    <w:pPr>
      <w:pStyle w:val="a3"/>
      <w:spacing w:line="14" w:lineRule="auto"/>
      <w:rPr>
        <w:sz w:val="20"/>
      </w:rPr>
    </w:pPr>
    <w:r>
      <w:rPr>
        <w:noProof/>
        <w:lang w:eastAsia="ja-JP"/>
      </w:rPr>
      <mc:AlternateContent>
        <mc:Choice Requires="wps">
          <w:drawing>
            <wp:anchor distT="0" distB="0" distL="114300" distR="114300" simplePos="0" relativeHeight="251657728" behindDoc="1" locked="0" layoutInCell="1" allowOverlap="1" wp14:anchorId="7607A79C" wp14:editId="226E1679">
              <wp:simplePos x="0" y="0"/>
              <wp:positionH relativeFrom="page">
                <wp:posOffset>444500</wp:posOffset>
              </wp:positionH>
              <wp:positionV relativeFrom="page">
                <wp:posOffset>10144760</wp:posOffset>
              </wp:positionV>
              <wp:extent cx="2136140" cy="248920"/>
              <wp:effectExtent l="0" t="0" r="22860" b="50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2B0203" w14:textId="77777777" w:rsidR="0056295D" w:rsidRPr="00227290" w:rsidRDefault="0056295D">
                          <w:pPr>
                            <w:spacing w:line="184" w:lineRule="exact"/>
                            <w:ind w:left="20" w:right="-12"/>
                            <w:rPr>
                              <w:rFonts w:ascii="Arial"/>
                              <w:color w:val="FFFFFF"/>
                              <w:sz w:val="16"/>
                            </w:rPr>
                          </w:pPr>
                          <w:r w:rsidRPr="00227290">
                            <w:rPr>
                              <w:rFonts w:ascii="Arial"/>
                              <w:color w:val="FFFFFF"/>
                              <w:sz w:val="16"/>
                            </w:rPr>
                            <w:t>J Pain Relief</w:t>
                          </w:r>
                        </w:p>
                        <w:p w14:paraId="15F90150" w14:textId="77777777" w:rsidR="0056295D" w:rsidRPr="00227290" w:rsidRDefault="0056295D">
                          <w:pPr>
                            <w:spacing w:before="8"/>
                            <w:ind w:left="20" w:right="-12"/>
                            <w:rPr>
                              <w:rFonts w:ascii="Arial"/>
                              <w:color w:val="FFFFFF"/>
                              <w:sz w:val="16"/>
                            </w:rPr>
                          </w:pPr>
                          <w:r w:rsidRPr="00227290">
                            <w:rPr>
                              <w:rFonts w:ascii="Arial"/>
                              <w:color w:val="FFFFFF"/>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1D2B0203" w14:textId="77777777" w:rsidR="0056295D" w:rsidRPr="00227290" w:rsidRDefault="0056295D">
                    <w:pPr>
                      <w:spacing w:line="184" w:lineRule="exact"/>
                      <w:ind w:left="20" w:right="-12"/>
                      <w:rPr>
                        <w:rFonts w:ascii="Arial"/>
                        <w:color w:val="FFFFFF"/>
                        <w:sz w:val="16"/>
                      </w:rPr>
                    </w:pPr>
                    <w:r w:rsidRPr="00227290">
                      <w:rPr>
                        <w:rFonts w:ascii="Arial"/>
                        <w:color w:val="FFFFFF"/>
                        <w:sz w:val="16"/>
                      </w:rPr>
                      <w:t>J Pain Relief</w:t>
                    </w:r>
                  </w:p>
                  <w:p w14:paraId="15F90150" w14:textId="77777777" w:rsidR="0056295D" w:rsidRPr="00227290" w:rsidRDefault="0056295D">
                    <w:pPr>
                      <w:spacing w:before="8"/>
                      <w:ind w:left="20" w:right="-12"/>
                      <w:rPr>
                        <w:rFonts w:ascii="Arial"/>
                        <w:color w:val="FFFFFF"/>
                        <w:sz w:val="16"/>
                      </w:rPr>
                    </w:pPr>
                    <w:r w:rsidRPr="00227290">
                      <w:rPr>
                        <w:rFonts w:ascii="Arial"/>
                        <w:color w:val="FFFFFF"/>
                        <w:sz w:val="16"/>
                      </w:rPr>
                      <w:t>ISSN: 2167-0846 JPAR an open access journa</w:t>
                    </w:r>
                  </w:p>
                </w:txbxContent>
              </v:textbox>
              <w10:wrap anchorx="page" anchory="page"/>
            </v:shape>
          </w:pict>
        </mc:Fallback>
      </mc:AlternateContent>
    </w:r>
    <w:r>
      <w:rPr>
        <w:noProof/>
        <w:lang w:eastAsia="ja-JP"/>
      </w:rPr>
      <mc:AlternateContent>
        <mc:Choice Requires="wps">
          <w:drawing>
            <wp:anchor distT="0" distB="0" distL="114300" distR="114300" simplePos="0" relativeHeight="251658752" behindDoc="1" locked="0" layoutInCell="1" allowOverlap="1" wp14:anchorId="1EB608E1" wp14:editId="3F3AEC6F">
              <wp:simplePos x="0" y="0"/>
              <wp:positionH relativeFrom="page">
                <wp:posOffset>3201670</wp:posOffset>
              </wp:positionH>
              <wp:positionV relativeFrom="page">
                <wp:posOffset>10147935</wp:posOffset>
              </wp:positionV>
              <wp:extent cx="1167130" cy="316865"/>
              <wp:effectExtent l="0" t="0" r="1270" b="1333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69ADF0" w14:textId="77777777" w:rsidR="0056295D" w:rsidRPr="00227290" w:rsidRDefault="0056295D">
                          <w:pPr>
                            <w:spacing w:line="269" w:lineRule="exact"/>
                            <w:jc w:val="center"/>
                            <w:rPr>
                              <w:rFonts w:ascii="Impact"/>
                              <w:color w:val="FFFFFF"/>
                              <w:sz w:val="24"/>
                            </w:rPr>
                          </w:pPr>
                          <w:r w:rsidRPr="00227290">
                            <w:rPr>
                              <w:rFonts w:ascii="Impact"/>
                              <w:color w:val="FFFFFF"/>
                              <w:sz w:val="24"/>
                            </w:rPr>
                            <w:t>Fibromyalgia 2016</w:t>
                          </w:r>
                        </w:p>
                        <w:p w14:paraId="3842CF0B" w14:textId="77777777" w:rsidR="0056295D" w:rsidRPr="00227290" w:rsidRDefault="0056295D">
                          <w:pPr>
                            <w:spacing w:before="29"/>
                            <w:jc w:val="center"/>
                            <w:rPr>
                              <w:rFonts w:ascii="Arial"/>
                              <w:color w:val="FFFFFF"/>
                              <w:sz w:val="16"/>
                            </w:rPr>
                          </w:pPr>
                          <w:r w:rsidRPr="00227290">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7369ADF0" w14:textId="77777777" w:rsidR="0056295D" w:rsidRPr="00227290" w:rsidRDefault="0056295D">
                    <w:pPr>
                      <w:spacing w:line="269" w:lineRule="exact"/>
                      <w:jc w:val="center"/>
                      <w:rPr>
                        <w:rFonts w:ascii="Impact"/>
                        <w:color w:val="FFFFFF"/>
                        <w:sz w:val="24"/>
                      </w:rPr>
                    </w:pPr>
                    <w:r w:rsidRPr="00227290">
                      <w:rPr>
                        <w:rFonts w:ascii="Impact"/>
                        <w:color w:val="FFFFFF"/>
                        <w:sz w:val="24"/>
                      </w:rPr>
                      <w:t>Fibromyalgia 2016</w:t>
                    </w:r>
                  </w:p>
                  <w:p w14:paraId="3842CF0B" w14:textId="77777777" w:rsidR="0056295D" w:rsidRPr="00227290" w:rsidRDefault="0056295D">
                    <w:pPr>
                      <w:spacing w:before="29"/>
                      <w:jc w:val="center"/>
                      <w:rPr>
                        <w:rFonts w:ascii="Arial"/>
                        <w:color w:val="FFFFFF"/>
                        <w:sz w:val="16"/>
                      </w:rPr>
                    </w:pPr>
                    <w:r w:rsidRPr="00227290">
                      <w:rPr>
                        <w:rFonts w:ascii="Arial"/>
                        <w:color w:val="FFFFFF"/>
                        <w:sz w:val="16"/>
                      </w:rPr>
                      <w:t>June 15-16, 2016</w:t>
                    </w:r>
                  </w:p>
                </w:txbxContent>
              </v:textbox>
              <w10:wrap anchorx="page" anchory="page"/>
            </v:shape>
          </w:pict>
        </mc:Fallback>
      </mc:AlternateContent>
    </w:r>
    <w:r>
      <w:rPr>
        <w:noProof/>
        <w:lang w:eastAsia="ja-JP"/>
      </w:rPr>
      <mc:AlternateContent>
        <mc:Choice Requires="wps">
          <w:drawing>
            <wp:anchor distT="0" distB="0" distL="114300" distR="114300" simplePos="0" relativeHeight="251659776" behindDoc="1" locked="0" layoutInCell="1" allowOverlap="1" wp14:anchorId="487F674B" wp14:editId="6D908F03">
              <wp:simplePos x="0" y="0"/>
              <wp:positionH relativeFrom="page">
                <wp:posOffset>5955030</wp:posOffset>
              </wp:positionH>
              <wp:positionV relativeFrom="page">
                <wp:posOffset>10144760</wp:posOffset>
              </wp:positionV>
              <wp:extent cx="1160780" cy="330835"/>
              <wp:effectExtent l="0" t="0" r="7620" b="247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CF6D3B" w14:textId="77777777" w:rsidR="0056295D" w:rsidRPr="00227290" w:rsidRDefault="0056295D">
                          <w:pPr>
                            <w:spacing w:line="184" w:lineRule="exact"/>
                            <w:ind w:right="18"/>
                            <w:jc w:val="right"/>
                            <w:rPr>
                              <w:rFonts w:ascii="Arial"/>
                              <w:color w:val="FFFFFF"/>
                              <w:sz w:val="16"/>
                            </w:rPr>
                          </w:pPr>
                          <w:r w:rsidRPr="00227290">
                            <w:rPr>
                              <w:rFonts w:ascii="Arial"/>
                              <w:color w:val="FFFFFF"/>
                              <w:sz w:val="16"/>
                            </w:rPr>
                            <w:t>Volume 5, Issue 3(Suppl)</w:t>
                          </w:r>
                        </w:p>
                        <w:p w14:paraId="479E33CB" w14:textId="77777777" w:rsidR="0056295D" w:rsidRPr="00227290" w:rsidRDefault="0056295D">
                          <w:pPr>
                            <w:spacing w:before="116"/>
                            <w:ind w:right="18"/>
                            <w:jc w:val="right"/>
                            <w:rPr>
                              <w:rFonts w:ascii="Minion Pro"/>
                              <w:color w:val="FFFFFF"/>
                              <w:sz w:val="16"/>
                            </w:rPr>
                          </w:pPr>
                          <w:r w:rsidRPr="00227290">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03CF6D3B" w14:textId="77777777" w:rsidR="0056295D" w:rsidRPr="00227290" w:rsidRDefault="0056295D">
                    <w:pPr>
                      <w:spacing w:line="184" w:lineRule="exact"/>
                      <w:ind w:right="18"/>
                      <w:jc w:val="right"/>
                      <w:rPr>
                        <w:rFonts w:ascii="Arial"/>
                        <w:color w:val="FFFFFF"/>
                        <w:sz w:val="16"/>
                      </w:rPr>
                    </w:pPr>
                    <w:r w:rsidRPr="00227290">
                      <w:rPr>
                        <w:rFonts w:ascii="Arial"/>
                        <w:color w:val="FFFFFF"/>
                        <w:sz w:val="16"/>
                      </w:rPr>
                      <w:t>Volume 5, Issue 3(Suppl)</w:t>
                    </w:r>
                  </w:p>
                  <w:p w14:paraId="479E33CB" w14:textId="77777777" w:rsidR="0056295D" w:rsidRPr="00227290" w:rsidRDefault="0056295D">
                    <w:pPr>
                      <w:spacing w:before="116"/>
                      <w:ind w:right="18"/>
                      <w:jc w:val="right"/>
                      <w:rPr>
                        <w:rFonts w:ascii="Minion Pro"/>
                        <w:color w:val="FFFFFF"/>
                        <w:sz w:val="16"/>
                      </w:rPr>
                    </w:pPr>
                    <w:r w:rsidRPr="00227290">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E7226D" w14:textId="77777777" w:rsidR="0056295D" w:rsidRDefault="0056295D">
      <w:r>
        <w:separator/>
      </w:r>
    </w:p>
  </w:footnote>
  <w:footnote w:type="continuationSeparator" w:id="0">
    <w:p w14:paraId="181C8A23" w14:textId="77777777" w:rsidR="0056295D" w:rsidRDefault="0056295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3EB99F" w14:textId="0B4B823F" w:rsidR="0056295D" w:rsidRDefault="007E2347">
    <w:pPr>
      <w:pStyle w:val="a3"/>
      <w:spacing w:line="14" w:lineRule="auto"/>
      <w:rPr>
        <w:sz w:val="20"/>
      </w:rPr>
    </w:pPr>
    <w:r>
      <w:rPr>
        <w:noProof/>
        <w:lang w:eastAsia="ja-JP"/>
      </w:rPr>
      <mc:AlternateContent>
        <mc:Choice Requires="wps">
          <w:drawing>
            <wp:anchor distT="0" distB="0" distL="114300" distR="114300" simplePos="0" relativeHeight="251655680" behindDoc="1" locked="0" layoutInCell="1" allowOverlap="1" wp14:anchorId="5354DDFC" wp14:editId="1078F494">
              <wp:simplePos x="0" y="0"/>
              <wp:positionH relativeFrom="page">
                <wp:posOffset>5283200</wp:posOffset>
              </wp:positionH>
              <wp:positionV relativeFrom="page">
                <wp:posOffset>330835</wp:posOffset>
              </wp:positionV>
              <wp:extent cx="1832610" cy="220980"/>
              <wp:effectExtent l="0" t="0" r="21590" b="762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AA93FE" w14:textId="77777777" w:rsidR="0056295D" w:rsidRPr="00227290" w:rsidRDefault="0056295D">
                          <w:pPr>
                            <w:spacing w:before="2" w:line="249" w:lineRule="auto"/>
                            <w:ind w:left="156" w:right="18" w:hanging="137"/>
                            <w:rPr>
                              <w:rFonts w:ascii="Arial"/>
                              <w:color w:val="FFFFFF"/>
                              <w:sz w:val="14"/>
                            </w:rPr>
                          </w:pPr>
                          <w:r w:rsidRPr="00227290">
                            <w:rPr>
                              <w:rFonts w:ascii="Arial"/>
                              <w:color w:val="FFFFFF"/>
                              <w:sz w:val="14"/>
                            </w:rPr>
                            <w:t xml:space="preserve">T Furuta et al., J Pai n Relief 2016, 5:3(Suppl) </w:t>
                          </w:r>
                          <w:hyperlink r:id="rId1">
                            <w:r w:rsidRPr="00227290">
                              <w:rPr>
                                <w:rFonts w:ascii="Arial"/>
                                <w:color w:val="FFFFFF"/>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5AAA93FE" w14:textId="77777777" w:rsidR="0056295D" w:rsidRPr="00227290" w:rsidRDefault="0056295D">
                    <w:pPr>
                      <w:spacing w:before="2" w:line="249" w:lineRule="auto"/>
                      <w:ind w:left="156" w:right="18" w:hanging="137"/>
                      <w:rPr>
                        <w:rFonts w:ascii="Arial"/>
                        <w:color w:val="FFFFFF"/>
                        <w:sz w:val="14"/>
                      </w:rPr>
                    </w:pPr>
                    <w:r w:rsidRPr="00227290">
                      <w:rPr>
                        <w:rFonts w:ascii="Arial"/>
                        <w:color w:val="FFFFFF"/>
                        <w:sz w:val="14"/>
                      </w:rPr>
                      <w:t xml:space="preserve">T Furuta et al., J Pai n Relief 2016, 5:3(Suppl) </w:t>
                    </w:r>
                    <w:hyperlink r:id="rId2">
                      <w:r w:rsidRPr="00227290">
                        <w:rPr>
                          <w:rFonts w:ascii="Arial"/>
                          <w:color w:val="FFFFFF"/>
                          <w:sz w:val="14"/>
                        </w:rPr>
                        <w:t>http://dx.doi.org/10.4172/2167-0846.C1.006</w:t>
                      </w:r>
                    </w:hyperlink>
                  </w:p>
                </w:txbxContent>
              </v:textbox>
              <w10:wrap anchorx="page" anchory="page"/>
            </v:shape>
          </w:pict>
        </mc:Fallback>
      </mc:AlternateContent>
    </w:r>
    <w:r>
      <w:rPr>
        <w:noProof/>
        <w:lang w:eastAsia="ja-JP"/>
      </w:rPr>
      <mc:AlternateContent>
        <mc:Choice Requires="wps">
          <w:drawing>
            <wp:anchor distT="0" distB="0" distL="114300" distR="114300" simplePos="0" relativeHeight="251656704" behindDoc="1" locked="0" layoutInCell="1" allowOverlap="1" wp14:anchorId="79D4DBF8" wp14:editId="24185E5E">
              <wp:simplePos x="0" y="0"/>
              <wp:positionH relativeFrom="page">
                <wp:posOffset>444500</wp:posOffset>
              </wp:positionH>
              <wp:positionV relativeFrom="page">
                <wp:posOffset>613410</wp:posOffset>
              </wp:positionV>
              <wp:extent cx="6552565" cy="509270"/>
              <wp:effectExtent l="0" t="0" r="635" b="2413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E5CA04" w14:textId="77777777" w:rsidR="0056295D" w:rsidRPr="00227290" w:rsidRDefault="0056295D">
                          <w:pPr>
                            <w:pStyle w:val="a3"/>
                            <w:spacing w:line="187" w:lineRule="exact"/>
                            <w:ind w:left="20" w:right="-10"/>
                            <w:rPr>
                              <w:rFonts w:ascii="Myriad Pro"/>
                              <w:color w:val="FFFFFF"/>
                            </w:rPr>
                          </w:pPr>
                          <w:r w:rsidRPr="00227290">
                            <w:rPr>
                              <w:rFonts w:ascii="Myriad Pro"/>
                              <w:color w:val="FFFFFF"/>
                            </w:rPr>
                            <w:t>International Conference on</w:t>
                          </w:r>
                        </w:p>
                        <w:p w14:paraId="2583D67E" w14:textId="77777777" w:rsidR="0056295D" w:rsidRPr="00227290" w:rsidRDefault="0056295D">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57E5CA04" w14:textId="77777777" w:rsidR="0056295D" w:rsidRPr="00227290" w:rsidRDefault="0056295D">
                    <w:pPr>
                      <w:pStyle w:val="a3"/>
                      <w:spacing w:line="187" w:lineRule="exact"/>
                      <w:ind w:left="20" w:right="-10"/>
                      <w:rPr>
                        <w:rFonts w:ascii="Myriad Pro"/>
                        <w:color w:val="FFFFFF"/>
                      </w:rPr>
                    </w:pPr>
                    <w:r w:rsidRPr="00227290">
                      <w:rPr>
                        <w:rFonts w:ascii="Myriad Pro"/>
                        <w:color w:val="FFFFFF"/>
                      </w:rPr>
                      <w:t>International Conference on</w:t>
                    </w:r>
                  </w:p>
                  <w:p w14:paraId="2583D67E" w14:textId="77777777" w:rsidR="0056295D" w:rsidRPr="00227290" w:rsidRDefault="0056295D">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8D88396A"/>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2"/>
  <w:defaultTabStop w:val="720"/>
  <w:autoHyphenation/>
  <w:hyphenationZone w:val="357"/>
  <w:drawingGridHorizontalSpacing w:val="110"/>
  <w:displayHorizontalDrawingGridEvery w:val="2"/>
  <w:characterSpacingControl w:val="doNotCompress"/>
  <w:hdrShapeDefaults>
    <o:shapedefaults v:ext="edit" spidmax="3074">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D75CF"/>
    <w:rsid w:val="00227290"/>
    <w:rsid w:val="00292ED9"/>
    <w:rsid w:val="002E0B81"/>
    <w:rsid w:val="003F203B"/>
    <w:rsid w:val="00404E5B"/>
    <w:rsid w:val="00414F7B"/>
    <w:rsid w:val="004355DC"/>
    <w:rsid w:val="004749B4"/>
    <w:rsid w:val="00494130"/>
    <w:rsid w:val="004A54B2"/>
    <w:rsid w:val="004F3523"/>
    <w:rsid w:val="0056295D"/>
    <w:rsid w:val="00572DCD"/>
    <w:rsid w:val="005973B9"/>
    <w:rsid w:val="005B3A56"/>
    <w:rsid w:val="006060CE"/>
    <w:rsid w:val="00616C38"/>
    <w:rsid w:val="0063497F"/>
    <w:rsid w:val="007B0EBB"/>
    <w:rsid w:val="007E2347"/>
    <w:rsid w:val="00873DF0"/>
    <w:rsid w:val="008756E6"/>
    <w:rsid w:val="008A7674"/>
    <w:rsid w:val="009B2D44"/>
    <w:rsid w:val="00A07E82"/>
    <w:rsid w:val="00A9710C"/>
    <w:rsid w:val="00AC61E2"/>
    <w:rsid w:val="00AE3E37"/>
    <w:rsid w:val="00B21A57"/>
    <w:rsid w:val="00C33602"/>
    <w:rsid w:val="00C938CB"/>
    <w:rsid w:val="00CD6F55"/>
    <w:rsid w:val="00DC7620"/>
    <w:rsid w:val="00DE3104"/>
    <w:rsid w:val="00EE06EF"/>
    <w:rsid w:val="00EF6537"/>
    <w:rsid w:val="00F40193"/>
    <w:rsid w:val="00F53D1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4">
      <v:textbox inset="5.85pt,.7pt,5.85pt,.7pt"/>
    </o:shapedefaults>
    <o:shapelayout v:ext="edit">
      <o:idmap v:ext="edit" data="1"/>
      <o:rules v:ext="edit">
        <o:r id="V:Rule1" type="connector" idref="#Line 5"/>
      </o:rules>
    </o:shapelayout>
  </w:shapeDefaults>
  <w:decimalSymbol w:val="."/>
  <w:listSeparator w:val=","/>
  <w14:docId w14:val="7FB4B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EastAsia" w:hAnsi="Calibri" w:cs="Gautam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1"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pPr>
      <w:widowControl w:val="0"/>
    </w:pPr>
    <w:rPr>
      <w:rFonts w:ascii="Tw Cen MT" w:eastAsia="Tw Cen MT" w:hAnsi="Tw Cen MT" w:cs="Tw Cen MT"/>
      <w:sz w:val="22"/>
      <w:szCs w:val="22"/>
      <w:lang w:eastAsia="en-US"/>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link w:val="aa"/>
    <w:uiPriority w:val="99"/>
    <w:semiHidden/>
    <w:rsid w:val="004F3523"/>
    <w:rPr>
      <w:rFonts w:ascii="Tahoma" w:eastAsia="Tw Cen MT" w:hAnsi="Tahoma" w:cs="Tahoma"/>
      <w:sz w:val="16"/>
      <w:szCs w:val="16"/>
    </w:rPr>
  </w:style>
  <w:style w:type="character" w:styleId="ac">
    <w:name w:val="Hyperlink"/>
    <w:uiPriority w:val="99"/>
    <w:unhideWhenUsed/>
    <w:rsid w:val="008756E6"/>
    <w:rPr>
      <w:color w:val="0000FF"/>
      <w:u w:val="single"/>
    </w:rPr>
  </w:style>
  <w:style w:type="character" w:customStyle="1" w:styleId="a4">
    <w:name w:val="本文 (文字)"/>
    <w:link w:val="a3"/>
    <w:uiPriority w:val="1"/>
    <w:rsid w:val="005973B9"/>
    <w:rPr>
      <w:rFonts w:ascii="Tw Cen MT" w:eastAsia="Tw Cen MT" w:hAnsi="Tw Cen MT" w:cs="Tw Cen MT"/>
      <w:sz w:val="18"/>
      <w:szCs w:val="18"/>
    </w:rPr>
  </w:style>
  <w:style w:type="character" w:customStyle="1" w:styleId="UnresolvedMention">
    <w:name w:val="Unresolved Mention"/>
    <w:uiPriority w:val="99"/>
    <w:semiHidden/>
    <w:unhideWhenUsed/>
    <w:rsid w:val="004A54B2"/>
    <w:rPr>
      <w:color w:val="808080"/>
      <w:shd w:val="clear" w:color="auto" w:fill="E6E6E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EastAsia" w:hAnsi="Calibri" w:cs="Gautam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1"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pPr>
      <w:widowControl w:val="0"/>
    </w:pPr>
    <w:rPr>
      <w:rFonts w:ascii="Tw Cen MT" w:eastAsia="Tw Cen MT" w:hAnsi="Tw Cen MT" w:cs="Tw Cen MT"/>
      <w:sz w:val="22"/>
      <w:szCs w:val="22"/>
      <w:lang w:eastAsia="en-US"/>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link w:val="aa"/>
    <w:uiPriority w:val="99"/>
    <w:semiHidden/>
    <w:rsid w:val="004F3523"/>
    <w:rPr>
      <w:rFonts w:ascii="Tahoma" w:eastAsia="Tw Cen MT" w:hAnsi="Tahoma" w:cs="Tahoma"/>
      <w:sz w:val="16"/>
      <w:szCs w:val="16"/>
    </w:rPr>
  </w:style>
  <w:style w:type="character" w:styleId="ac">
    <w:name w:val="Hyperlink"/>
    <w:uiPriority w:val="99"/>
    <w:unhideWhenUsed/>
    <w:rsid w:val="008756E6"/>
    <w:rPr>
      <w:color w:val="0000FF"/>
      <w:u w:val="single"/>
    </w:rPr>
  </w:style>
  <w:style w:type="character" w:customStyle="1" w:styleId="a4">
    <w:name w:val="本文 (文字)"/>
    <w:link w:val="a3"/>
    <w:uiPriority w:val="1"/>
    <w:rsid w:val="005973B9"/>
    <w:rPr>
      <w:rFonts w:ascii="Tw Cen MT" w:eastAsia="Tw Cen MT" w:hAnsi="Tw Cen MT" w:cs="Tw Cen MT"/>
      <w:sz w:val="18"/>
      <w:szCs w:val="18"/>
    </w:rPr>
  </w:style>
  <w:style w:type="character" w:customStyle="1" w:styleId="UnresolvedMention">
    <w:name w:val="Unresolved Mention"/>
    <w:uiPriority w:val="99"/>
    <w:semiHidden/>
    <w:unhideWhenUsed/>
    <w:rsid w:val="004A54B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00609858">
      <w:bodyDiv w:val="1"/>
      <w:marLeft w:val="0"/>
      <w:marRight w:val="0"/>
      <w:marTop w:val="0"/>
      <w:marBottom w:val="0"/>
      <w:divBdr>
        <w:top w:val="none" w:sz="0" w:space="0" w:color="auto"/>
        <w:left w:val="none" w:sz="0" w:space="0" w:color="auto"/>
        <w:bottom w:val="none" w:sz="0" w:space="0" w:color="auto"/>
        <w:right w:val="none" w:sz="0" w:space="0" w:color="auto"/>
      </w:divBdr>
    </w:div>
    <w:div w:id="112277265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yperlink" Target="mailto:drXXXXXXX@xxxmail.com"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717</Words>
  <Characters>4093</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4801</CharactersWithSpaces>
  <SharedDoc>false</SharedDoc>
  <HLinks>
    <vt:vector size="18" baseType="variant">
      <vt:variant>
        <vt:i4>327741</vt:i4>
      </vt:variant>
      <vt:variant>
        <vt:i4>6</vt:i4>
      </vt:variant>
      <vt:variant>
        <vt:i4>0</vt:i4>
      </vt:variant>
      <vt:variant>
        <vt:i4>5</vt:i4>
      </vt:variant>
      <vt:variant>
        <vt:lpwstr>mailto:drXXXXXXX@xxxmail.com</vt:lpwstr>
      </vt:variant>
      <vt:variant>
        <vt:lpwstr/>
      </vt:variant>
      <vt:variant>
        <vt:i4>4653082</vt:i4>
      </vt:variant>
      <vt:variant>
        <vt:i4>0</vt:i4>
      </vt:variant>
      <vt:variant>
        <vt:i4>0</vt:i4>
      </vt:variant>
      <vt:variant>
        <vt:i4>5</vt:i4>
      </vt:variant>
      <vt:variant>
        <vt:lpwstr>https://www.magonlinelibrary.com/doi/abs/10.12968/hmed.2017.78.12.730</vt:lpwstr>
      </vt:variant>
      <vt:variant>
        <vt:lpwstr/>
      </vt:variant>
      <vt:variant>
        <vt:i4>7995442</vt:i4>
      </vt:variant>
      <vt:variant>
        <vt:i4>0</vt:i4>
      </vt:variant>
      <vt:variant>
        <vt:i4>0</vt:i4>
      </vt:variant>
      <vt:variant>
        <vt:i4>5</vt:i4>
      </vt:variant>
      <vt:variant>
        <vt:lpwstr>http://dx.doi.org/10.4172/2167-0846.C1.006</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cp:lastModifiedBy>OTSUJI TAIICHI</cp:lastModifiedBy>
  <cp:revision>2</cp:revision>
  <dcterms:created xsi:type="dcterms:W3CDTF">2019-01-17T01:29:00Z</dcterms:created>
  <dcterms:modified xsi:type="dcterms:W3CDTF">2019-01-17T01:29:00Z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