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D38B" w14:textId="61AF6349" w:rsidR="001A3D51" w:rsidRPr="0042662D" w:rsidRDefault="001A3D51" w:rsidP="006514B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2662D">
        <w:rPr>
          <w:rFonts w:ascii="Arial" w:hAnsi="Arial" w:cs="Arial"/>
          <w:b/>
          <w:bCs/>
          <w:sz w:val="24"/>
          <w:szCs w:val="24"/>
        </w:rPr>
        <w:t>Patient Safety</w:t>
      </w:r>
      <w:r w:rsidR="006514B4">
        <w:rPr>
          <w:rFonts w:ascii="Arial" w:hAnsi="Arial" w:cs="Arial"/>
          <w:b/>
          <w:bCs/>
          <w:sz w:val="24"/>
          <w:szCs w:val="24"/>
        </w:rPr>
        <w:t xml:space="preserve"> and Pharmacovigilance: </w:t>
      </w:r>
      <w:r w:rsidRPr="0042662D">
        <w:rPr>
          <w:rFonts w:ascii="Arial" w:hAnsi="Arial" w:cs="Arial"/>
          <w:b/>
          <w:bCs/>
          <w:sz w:val="24"/>
          <w:szCs w:val="24"/>
        </w:rPr>
        <w:t xml:space="preserve">Pharmacists </w:t>
      </w:r>
      <w:r w:rsidR="006514B4">
        <w:rPr>
          <w:rFonts w:ascii="Arial" w:hAnsi="Arial" w:cs="Arial"/>
          <w:b/>
          <w:bCs/>
          <w:sz w:val="24"/>
          <w:szCs w:val="24"/>
        </w:rPr>
        <w:t>in Practice</w:t>
      </w:r>
    </w:p>
    <w:p w14:paraId="26784EB1" w14:textId="3609A5F5" w:rsidR="001A3D51" w:rsidRPr="00631970" w:rsidRDefault="00BB2538" w:rsidP="006514B4">
      <w:pPr>
        <w:spacing w:line="360" w:lineRule="auto"/>
        <w:rPr>
          <w:rFonts w:ascii="Arial" w:hAnsi="Arial" w:cs="Arial"/>
          <w:sz w:val="20"/>
          <w:szCs w:val="20"/>
        </w:rPr>
      </w:pPr>
      <w:r w:rsidRPr="00631970">
        <w:rPr>
          <w:rFonts w:ascii="Arial" w:hAnsi="Arial" w:cs="Arial"/>
          <w:sz w:val="20"/>
          <w:szCs w:val="20"/>
        </w:rPr>
        <w:t>Mansi Doshi, Clinical Pharmacist &amp; Faculty, MPharm (India), MSc, MRPharmS (UK)</w:t>
      </w:r>
    </w:p>
    <w:p w14:paraId="1A175C16" w14:textId="77777777" w:rsidR="00A71169" w:rsidRPr="0042662D" w:rsidRDefault="00A71169" w:rsidP="006514B4">
      <w:p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7AD2F674" w14:textId="1502738B" w:rsidR="00A71169" w:rsidRPr="0042662D" w:rsidRDefault="00A71169" w:rsidP="006514B4">
      <w:p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42662D">
        <w:rPr>
          <w:rFonts w:ascii="Arial" w:eastAsia="Arial" w:hAnsi="Arial" w:cs="Arial"/>
          <w:b/>
          <w:sz w:val="24"/>
          <w:szCs w:val="24"/>
        </w:rPr>
        <w:t xml:space="preserve">Abstract </w:t>
      </w:r>
    </w:p>
    <w:p w14:paraId="6D23AEB5" w14:textId="77777777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>Statement of the Problem:</w:t>
      </w:r>
    </w:p>
    <w:p w14:paraId="4FB46E79" w14:textId="43DF3075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 xml:space="preserve">Medication related problems and harm with inappropriate and irrational use of medications is a global health challenge.  </w:t>
      </w:r>
    </w:p>
    <w:p w14:paraId="72F37113" w14:textId="77777777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>Need and Development Prospects:</w:t>
      </w:r>
    </w:p>
    <w:p w14:paraId="455574A3" w14:textId="0CD40E40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 xml:space="preserve">Reducing avoidable risk and medicines optimisations with safe use of medications </w:t>
      </w:r>
      <w:r w:rsidR="008F331B" w:rsidRPr="0042662D">
        <w:rPr>
          <w:rFonts w:ascii="Arial" w:hAnsi="Arial" w:cs="Arial"/>
          <w:sz w:val="24"/>
          <w:szCs w:val="24"/>
        </w:rPr>
        <w:t xml:space="preserve">is inherent to </w:t>
      </w:r>
      <w:r w:rsidRPr="0042662D">
        <w:rPr>
          <w:rFonts w:ascii="Arial" w:hAnsi="Arial" w:cs="Arial"/>
          <w:sz w:val="24"/>
          <w:szCs w:val="24"/>
        </w:rPr>
        <w:t xml:space="preserve">optimal </w:t>
      </w:r>
      <w:r w:rsidR="008F331B" w:rsidRPr="0042662D">
        <w:rPr>
          <w:rFonts w:ascii="Arial" w:hAnsi="Arial" w:cs="Arial"/>
          <w:sz w:val="24"/>
          <w:szCs w:val="24"/>
        </w:rPr>
        <w:t xml:space="preserve">health care. </w:t>
      </w:r>
      <w:r w:rsidR="00630BA9" w:rsidRPr="0042662D">
        <w:rPr>
          <w:rFonts w:ascii="Arial" w:hAnsi="Arial" w:cs="Arial"/>
          <w:sz w:val="24"/>
          <w:szCs w:val="24"/>
        </w:rPr>
        <w:t xml:space="preserve"> Pharmacists are aptly placed to promote </w:t>
      </w:r>
      <w:r w:rsidR="008F331B" w:rsidRPr="0042662D">
        <w:rPr>
          <w:rFonts w:ascii="Arial" w:hAnsi="Arial" w:cs="Arial"/>
          <w:sz w:val="24"/>
          <w:szCs w:val="24"/>
        </w:rPr>
        <w:t>evidence-based</w:t>
      </w:r>
      <w:r w:rsidR="00630BA9" w:rsidRPr="0042662D">
        <w:rPr>
          <w:rFonts w:ascii="Arial" w:hAnsi="Arial" w:cs="Arial"/>
          <w:sz w:val="24"/>
          <w:szCs w:val="24"/>
        </w:rPr>
        <w:t xml:space="preserve">, </w:t>
      </w:r>
      <w:r w:rsidR="008F331B" w:rsidRPr="0042662D">
        <w:rPr>
          <w:rFonts w:ascii="Arial" w:hAnsi="Arial" w:cs="Arial"/>
          <w:sz w:val="24"/>
          <w:szCs w:val="24"/>
        </w:rPr>
        <w:t>safe</w:t>
      </w:r>
      <w:r w:rsidR="00630BA9" w:rsidRPr="0042662D">
        <w:rPr>
          <w:rFonts w:ascii="Arial" w:hAnsi="Arial" w:cs="Arial"/>
          <w:sz w:val="24"/>
          <w:szCs w:val="24"/>
        </w:rPr>
        <w:t xml:space="preserve">, </w:t>
      </w:r>
      <w:r w:rsidR="00577546" w:rsidRPr="0042662D">
        <w:rPr>
          <w:rFonts w:ascii="Arial" w:hAnsi="Arial" w:cs="Arial"/>
          <w:sz w:val="24"/>
          <w:szCs w:val="24"/>
        </w:rPr>
        <w:t xml:space="preserve">informed, </w:t>
      </w:r>
      <w:r w:rsidR="008F331B" w:rsidRPr="0042662D">
        <w:rPr>
          <w:rFonts w:ascii="Arial" w:hAnsi="Arial" w:cs="Arial"/>
          <w:sz w:val="24"/>
          <w:szCs w:val="24"/>
        </w:rPr>
        <w:t xml:space="preserve">rational use of </w:t>
      </w:r>
      <w:r w:rsidR="007D1ED2" w:rsidRPr="0042662D">
        <w:rPr>
          <w:rFonts w:ascii="Arial" w:hAnsi="Arial" w:cs="Arial"/>
          <w:sz w:val="24"/>
          <w:szCs w:val="24"/>
        </w:rPr>
        <w:t>medication</w:t>
      </w:r>
      <w:r w:rsidR="008F331B" w:rsidRPr="0042662D">
        <w:rPr>
          <w:rFonts w:ascii="Arial" w:hAnsi="Arial" w:cs="Arial"/>
          <w:sz w:val="24"/>
          <w:szCs w:val="24"/>
        </w:rPr>
        <w:t>s</w:t>
      </w:r>
      <w:r w:rsidRPr="0042662D">
        <w:rPr>
          <w:rFonts w:ascii="Arial" w:hAnsi="Arial" w:cs="Arial"/>
          <w:sz w:val="24"/>
          <w:szCs w:val="24"/>
        </w:rPr>
        <w:t xml:space="preserve"> complemented with </w:t>
      </w:r>
      <w:r w:rsidR="008F331B" w:rsidRPr="0042662D">
        <w:rPr>
          <w:rFonts w:ascii="Arial" w:hAnsi="Arial" w:cs="Arial"/>
          <w:sz w:val="24"/>
          <w:szCs w:val="24"/>
        </w:rPr>
        <w:t>appropriate safety communication</w:t>
      </w:r>
      <w:r w:rsidR="00577546" w:rsidRPr="0042662D">
        <w:rPr>
          <w:rFonts w:ascii="Arial" w:hAnsi="Arial" w:cs="Arial"/>
          <w:sz w:val="24"/>
          <w:szCs w:val="24"/>
        </w:rPr>
        <w:t xml:space="preserve">. </w:t>
      </w:r>
      <w:r w:rsidRPr="0042662D">
        <w:rPr>
          <w:rFonts w:ascii="Arial" w:hAnsi="Arial" w:cs="Arial"/>
          <w:sz w:val="24"/>
          <w:szCs w:val="24"/>
        </w:rPr>
        <w:t xml:space="preserve"> </w:t>
      </w:r>
    </w:p>
    <w:p w14:paraId="646A6990" w14:textId="120E29A0" w:rsidR="0042662D" w:rsidRPr="0042662D" w:rsidRDefault="00AF3118" w:rsidP="006514B4">
      <w:pPr>
        <w:spacing w:after="0" w:line="360" w:lineRule="auto"/>
        <w:jc w:val="both"/>
        <w:rPr>
          <w:rFonts w:ascii="Arial" w:hAnsi="Arial" w:cs="Arial"/>
          <w:color w:val="1A1A1A"/>
          <w:sz w:val="24"/>
          <w:szCs w:val="24"/>
        </w:rPr>
      </w:pPr>
      <w:r w:rsidRPr="0042662D">
        <w:rPr>
          <w:rFonts w:ascii="Arial" w:hAnsi="Arial" w:cs="Arial"/>
          <w:color w:val="1A1A1A"/>
          <w:sz w:val="24"/>
          <w:szCs w:val="24"/>
        </w:rPr>
        <w:t xml:space="preserve">Regulatory reforms and legislative changes in regions devoid of adequate pharmaceutical care may lead the research and training of </w:t>
      </w:r>
      <w:r w:rsidR="0042662D" w:rsidRPr="0042662D">
        <w:rPr>
          <w:rFonts w:ascii="Arial" w:hAnsi="Arial" w:cs="Arial"/>
          <w:color w:val="1A1A1A"/>
          <w:sz w:val="24"/>
          <w:szCs w:val="24"/>
        </w:rPr>
        <w:t>pharmacists</w:t>
      </w:r>
      <w:r w:rsidRPr="0042662D">
        <w:rPr>
          <w:rFonts w:ascii="Arial" w:hAnsi="Arial" w:cs="Arial"/>
          <w:color w:val="1A1A1A"/>
          <w:sz w:val="24"/>
          <w:szCs w:val="24"/>
        </w:rPr>
        <w:t xml:space="preserve"> to good use</w:t>
      </w:r>
      <w:r w:rsidR="0042662D" w:rsidRPr="0042662D">
        <w:rPr>
          <w:rFonts w:ascii="Arial" w:hAnsi="Arial" w:cs="Arial"/>
          <w:color w:val="1A1A1A"/>
          <w:sz w:val="24"/>
          <w:szCs w:val="24"/>
        </w:rPr>
        <w:t xml:space="preserve"> and bridge the </w:t>
      </w:r>
      <w:r w:rsidRPr="0042662D">
        <w:rPr>
          <w:rFonts w:ascii="Arial" w:hAnsi="Arial" w:cs="Arial"/>
          <w:color w:val="1A1A1A"/>
          <w:sz w:val="24"/>
          <w:szCs w:val="24"/>
        </w:rPr>
        <w:t>gap from academia to practice</w:t>
      </w:r>
      <w:r w:rsidR="0042662D" w:rsidRPr="006514B4">
        <w:rPr>
          <w:rFonts w:ascii="Arial" w:hAnsi="Arial" w:cs="Arial"/>
          <w:color w:val="1A1A1A"/>
          <w:sz w:val="24"/>
          <w:szCs w:val="24"/>
        </w:rPr>
        <w:t xml:space="preserve">.  Public awareness, patient involvement and training in medication safety may help overcome issues of inappropriate </w:t>
      </w:r>
      <w:r w:rsidR="0042662D" w:rsidRPr="0042662D">
        <w:rPr>
          <w:rFonts w:ascii="Arial" w:hAnsi="Arial" w:cs="Arial"/>
          <w:sz w:val="24"/>
          <w:szCs w:val="24"/>
        </w:rPr>
        <w:t xml:space="preserve">self-medication of prescription and non-prescription medications.  This demands unified and significant accountability by and responsibility of pharmacists and patients.  </w:t>
      </w:r>
    </w:p>
    <w:p w14:paraId="7772A946" w14:textId="2080D571" w:rsidR="0042662D" w:rsidRDefault="007C5F35" w:rsidP="006514B4">
      <w:pPr>
        <w:spacing w:line="360" w:lineRule="auto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>Conclusion:</w:t>
      </w:r>
      <w:r w:rsidR="006514B4">
        <w:rPr>
          <w:rFonts w:ascii="Arial" w:hAnsi="Arial" w:cs="Arial"/>
          <w:sz w:val="24"/>
          <w:szCs w:val="24"/>
        </w:rPr>
        <w:t xml:space="preserve"> </w:t>
      </w:r>
      <w:r w:rsidR="0042662D" w:rsidRPr="0042662D">
        <w:rPr>
          <w:rFonts w:ascii="Arial" w:hAnsi="Arial" w:cs="Arial"/>
          <w:sz w:val="24"/>
          <w:szCs w:val="24"/>
        </w:rPr>
        <w:t>Pharmacists in practice have a significant role in reducing risk and harm with medicines and training patients and improving public awareness about safe use of medicines.</w:t>
      </w:r>
      <w:r w:rsidR="0042662D">
        <w:rPr>
          <w:rFonts w:ascii="Arial" w:hAnsi="Arial" w:cs="Arial"/>
          <w:sz w:val="24"/>
          <w:szCs w:val="24"/>
        </w:rPr>
        <w:t xml:space="preserve">  </w:t>
      </w:r>
    </w:p>
    <w:p w14:paraId="09891570" w14:textId="137A6EC9" w:rsidR="006514B4" w:rsidRPr="009E7162" w:rsidRDefault="006514B4" w:rsidP="009E7162">
      <w:pPr>
        <w:spacing w:after="0" w:line="276" w:lineRule="auto"/>
        <w:rPr>
          <w:rFonts w:ascii="Arial" w:hAnsi="Arial" w:cs="Arial"/>
        </w:rPr>
      </w:pPr>
      <w:r w:rsidRPr="009E7162">
        <w:rPr>
          <w:rFonts w:ascii="Arial" w:hAnsi="Arial" w:cs="Arial"/>
        </w:rPr>
        <w:t>References:</w:t>
      </w:r>
    </w:p>
    <w:p w14:paraId="0C96DA1C" w14:textId="0873896B" w:rsidR="006C2DC2" w:rsidRPr="006C2DC2" w:rsidRDefault="006C2DC2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6C2DC2">
        <w:rPr>
          <w:rFonts w:ascii="Arial" w:hAnsi="Arial" w:cs="Arial"/>
          <w:color w:val="333333"/>
          <w:shd w:val="clear" w:color="auto" w:fill="FFFFFF"/>
        </w:rPr>
        <w:t>Doshi, M., Parbat, M., Paudyal, V. </w:t>
      </w:r>
      <w:r>
        <w:rPr>
          <w:rFonts w:ascii="Arial" w:hAnsi="Arial" w:cs="Arial"/>
          <w:color w:val="333333"/>
          <w:shd w:val="clear" w:color="auto" w:fill="FFFFFF"/>
        </w:rPr>
        <w:t>and Marriot, J</w:t>
      </w:r>
      <w:r w:rsidRPr="006C2DC2">
        <w:rPr>
          <w:rFonts w:ascii="Arial" w:hAnsi="Arial" w:cs="Arial"/>
          <w:i/>
          <w:iCs/>
          <w:color w:val="333333"/>
          <w:shd w:val="clear" w:color="auto" w:fill="FFFFFF"/>
        </w:rPr>
        <w:t>.</w:t>
      </w:r>
      <w:r w:rsidRPr="006C2DC2">
        <w:rPr>
          <w:rFonts w:ascii="Arial" w:hAnsi="Arial" w:cs="Arial"/>
          <w:color w:val="333333"/>
          <w:shd w:val="clear" w:color="auto" w:fill="FFFFFF"/>
        </w:rPr>
        <w:t> Bridging the gap between academia and practice: novel organogram at the Pharmacy Council of India. </w:t>
      </w:r>
      <w:r w:rsidRPr="006C2DC2">
        <w:rPr>
          <w:rFonts w:ascii="Arial" w:hAnsi="Arial" w:cs="Arial"/>
          <w:i/>
          <w:iCs/>
          <w:color w:val="333333"/>
          <w:shd w:val="clear" w:color="auto" w:fill="FFFFFF"/>
        </w:rPr>
        <w:t>J of Pharm Policy and Pract</w:t>
      </w:r>
      <w:r w:rsidRPr="006C2DC2">
        <w:rPr>
          <w:rFonts w:ascii="Arial" w:hAnsi="Arial" w:cs="Arial"/>
          <w:color w:val="333333"/>
          <w:shd w:val="clear" w:color="auto" w:fill="FFFFFF"/>
        </w:rPr>
        <w:t> </w:t>
      </w:r>
      <w:r w:rsidRPr="006C2DC2">
        <w:rPr>
          <w:rFonts w:ascii="Arial" w:hAnsi="Arial" w:cs="Arial"/>
          <w:b/>
          <w:bCs/>
          <w:color w:val="333333"/>
          <w:shd w:val="clear" w:color="auto" w:fill="FFFFFF"/>
        </w:rPr>
        <w:t>15, </w:t>
      </w:r>
      <w:r w:rsidRPr="006C2DC2">
        <w:rPr>
          <w:rFonts w:ascii="Arial" w:hAnsi="Arial" w:cs="Arial"/>
          <w:color w:val="333333"/>
          <w:shd w:val="clear" w:color="auto" w:fill="FFFFFF"/>
        </w:rPr>
        <w:t xml:space="preserve">22 (2022). </w:t>
      </w:r>
      <w:hyperlink r:id="rId7" w:history="1">
        <w:r w:rsidRPr="006C2DC2">
          <w:rPr>
            <w:rStyle w:val="Hyperlink"/>
            <w:rFonts w:ascii="Arial" w:hAnsi="Arial" w:cs="Arial"/>
            <w:shd w:val="clear" w:color="auto" w:fill="FFFFFF"/>
          </w:rPr>
          <w:t>https://doi.org/10.1186/s40545-022-00416-0</w:t>
        </w:r>
      </w:hyperlink>
    </w:p>
    <w:p w14:paraId="2A020590" w14:textId="4B62139A" w:rsidR="009E7162" w:rsidRPr="006C2DC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6C2DC2">
        <w:rPr>
          <w:rFonts w:ascii="Arial" w:eastAsia="Arial" w:hAnsi="Arial" w:cs="Arial"/>
          <w:color w:val="000000"/>
        </w:rPr>
        <w:t xml:space="preserve">WHO.  WHO Global Patient Safety Challenge.  2017.  </w:t>
      </w:r>
      <w:hyperlink r:id="rId8">
        <w:r w:rsidRPr="006C2DC2">
          <w:rPr>
            <w:rFonts w:ascii="Arial" w:eastAsia="Arial" w:hAnsi="Arial" w:cs="Arial"/>
            <w:color w:val="0000FF"/>
            <w:u w:val="single"/>
          </w:rPr>
          <w:t>https://apps.who.int/iris/bitstream/handle/10665/255263/WHO-HIS-SDS-2017.6-eng.pdf?sequence=1</w:t>
        </w:r>
      </w:hyperlink>
    </w:p>
    <w:p w14:paraId="2B1B31CE" w14:textId="58EF3043" w:rsidR="009E7162" w:rsidRPr="006C2DC2" w:rsidRDefault="009E7162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6C2DC2">
        <w:rPr>
          <w:rFonts w:ascii="Arial" w:eastAsia="Arial" w:hAnsi="Arial" w:cs="Arial"/>
          <w:color w:val="000000"/>
        </w:rPr>
        <w:t xml:space="preserve">WHO </w:t>
      </w:r>
      <w:r w:rsidRPr="006C2DC2">
        <w:rPr>
          <w:rFonts w:ascii="Arial" w:eastAsia="Times New Roman" w:hAnsi="Arial" w:cs="Arial"/>
          <w:color w:val="3C4245"/>
          <w:kern w:val="36"/>
          <w:lang w:eastAsia="en-IN"/>
        </w:rPr>
        <w:t xml:space="preserve">Global Patient Safety Action Plan 2021-2030. </w:t>
      </w:r>
      <w:r w:rsidR="006C2DC2" w:rsidRPr="006C2DC2">
        <w:rPr>
          <w:rFonts w:ascii="Arial" w:eastAsia="Times New Roman" w:hAnsi="Arial" w:cs="Arial"/>
          <w:color w:val="3C4245"/>
          <w:kern w:val="36"/>
          <w:lang w:eastAsia="en-IN"/>
        </w:rPr>
        <w:t>3 August</w:t>
      </w:r>
      <w:r w:rsidRPr="006C2DC2">
        <w:rPr>
          <w:rFonts w:ascii="Arial" w:eastAsia="Times New Roman" w:hAnsi="Arial" w:cs="Arial"/>
          <w:color w:val="3C4245"/>
          <w:kern w:val="36"/>
          <w:lang w:eastAsia="en-IN"/>
        </w:rPr>
        <w:t xml:space="preserve"> </w:t>
      </w:r>
      <w:r w:rsidR="006C2DC2" w:rsidRPr="006C2DC2">
        <w:rPr>
          <w:rFonts w:ascii="Arial" w:eastAsia="Times New Roman" w:hAnsi="Arial" w:cs="Arial"/>
          <w:color w:val="3C4245"/>
          <w:kern w:val="36"/>
          <w:lang w:eastAsia="en-IN"/>
        </w:rPr>
        <w:t>2021.</w:t>
      </w:r>
      <w:r w:rsidR="006C2DC2" w:rsidRPr="006C2DC2">
        <w:rPr>
          <w:rFonts w:ascii="Arial" w:eastAsia="Times New Roman" w:hAnsi="Arial" w:cs="Arial"/>
          <w:b/>
          <w:bCs/>
          <w:color w:val="3C4245"/>
          <w:kern w:val="36"/>
          <w:lang w:eastAsia="en-IN"/>
        </w:rPr>
        <w:t xml:space="preserve"> </w:t>
      </w:r>
      <w:hyperlink r:id="rId9" w:history="1">
        <w:r w:rsidR="006C2DC2" w:rsidRPr="006C2DC2">
          <w:rPr>
            <w:rStyle w:val="Hyperlink"/>
            <w:rFonts w:ascii="Arial" w:hAnsi="Arial" w:cs="Arial"/>
          </w:rPr>
          <w:t>https://www.who.int/publications/i/item/9789240032705</w:t>
        </w:r>
      </w:hyperlink>
      <w:r w:rsidRPr="006C2DC2">
        <w:rPr>
          <w:rFonts w:ascii="Arial" w:hAnsi="Arial" w:cs="Arial"/>
        </w:rPr>
        <w:t xml:space="preserve"> </w:t>
      </w:r>
    </w:p>
    <w:p w14:paraId="4513A4A4" w14:textId="20873801" w:rsidR="006514B4" w:rsidRPr="006C2DC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6C2DC2">
        <w:rPr>
          <w:rFonts w:ascii="Arial" w:eastAsia="Arial" w:hAnsi="Arial" w:cs="Arial"/>
          <w:color w:val="0E0E0E"/>
        </w:rPr>
        <w:t xml:space="preserve">NICE.  Medicines optimisation: the safe and effective use of medicines to enable the best possible outcomes.  In: NICE guideline [NG5].  4 March 2015.  </w:t>
      </w:r>
      <w:hyperlink r:id="rId10">
        <w:r w:rsidRPr="006C2DC2">
          <w:rPr>
            <w:rFonts w:ascii="Arial" w:eastAsia="Arial" w:hAnsi="Arial" w:cs="Arial"/>
            <w:color w:val="0000FF"/>
            <w:u w:val="single"/>
          </w:rPr>
          <w:t>https://www.nice.org.uk/guidance/ng5/resources/medicines-optimisation-the-safe-and-effective-use-of-medicines-to-enable-the-best-possible-outcomes-pdf-51041805253</w:t>
        </w:r>
      </w:hyperlink>
    </w:p>
    <w:p w14:paraId="1D9FF655" w14:textId="7DA4F5DE" w:rsidR="006514B4" w:rsidRPr="006C2DC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6C2DC2">
        <w:rPr>
          <w:rFonts w:ascii="Arial" w:eastAsia="Arial" w:hAnsi="Arial" w:cs="Arial"/>
          <w:color w:val="000000"/>
        </w:rPr>
        <w:t xml:space="preserve">NHS England.  Medicines Optimisation.  2021.  </w:t>
      </w:r>
      <w:hyperlink r:id="rId11">
        <w:r w:rsidRPr="006C2DC2">
          <w:rPr>
            <w:rFonts w:ascii="Arial" w:eastAsia="Arial" w:hAnsi="Arial" w:cs="Arial"/>
            <w:color w:val="0000FF"/>
            <w:u w:val="single"/>
          </w:rPr>
          <w:t>https://www.england.nhs.uk/medicines-2/medicines-optimisation/</w:t>
        </w:r>
      </w:hyperlink>
    </w:p>
    <w:p w14:paraId="1EA17112" w14:textId="50F864EC" w:rsidR="006514B4" w:rsidRPr="00B554DD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9E7162">
        <w:rPr>
          <w:rFonts w:ascii="Arial" w:eastAsia="Arial" w:hAnsi="Arial" w:cs="Arial"/>
          <w:color w:val="000000"/>
        </w:rPr>
        <w:lastRenderedPageBreak/>
        <w:t xml:space="preserve">FIP.  FIP Development Goals.  Transforming Global Pharmacy, 2020.  </w:t>
      </w:r>
      <w:hyperlink r:id="rId12">
        <w:r w:rsidRPr="009E7162">
          <w:rPr>
            <w:rFonts w:ascii="Arial" w:eastAsia="Arial" w:hAnsi="Arial" w:cs="Arial"/>
            <w:color w:val="0000FF"/>
            <w:u w:val="single"/>
          </w:rPr>
          <w:t>https://www.fip.org/file/4793</w:t>
        </w:r>
      </w:hyperlink>
    </w:p>
    <w:p w14:paraId="64449A8F" w14:textId="503C7A5A" w:rsidR="00B554DD" w:rsidRDefault="00B554DD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The Pharmaceutical Journal, </w:t>
      </w:r>
      <w:r w:rsidR="00EE23D1">
        <w:rPr>
          <w:rFonts w:ascii="Arial" w:eastAsia="Arial" w:hAnsi="Arial" w:cs="Arial"/>
          <w:color w:val="000000"/>
        </w:rPr>
        <w:t>Pioneering an independent medicines optimisation clinic in community in India; Online: DOI: 10.1211/PJ.2019.20206072</w:t>
      </w:r>
    </w:p>
    <w:p w14:paraId="29225931" w14:textId="07F32239" w:rsidR="00B554DD" w:rsidRDefault="00B554DD" w:rsidP="009E7162">
      <w:pPr>
        <w:spacing w:after="0" w:line="276" w:lineRule="auto"/>
        <w:rPr>
          <w:rFonts w:ascii="Arial" w:hAnsi="Arial" w:cs="Arial"/>
        </w:rPr>
      </w:pPr>
    </w:p>
    <w:p w14:paraId="15748A19" w14:textId="32E2AD0F" w:rsidR="00EE23D1" w:rsidRDefault="00EE23D1" w:rsidP="009E7162">
      <w:pPr>
        <w:spacing w:after="0" w:line="276" w:lineRule="auto"/>
        <w:rPr>
          <w:rFonts w:ascii="Arial" w:hAnsi="Arial" w:cs="Arial"/>
        </w:rPr>
      </w:pPr>
    </w:p>
    <w:p w14:paraId="6D9E40D0" w14:textId="72D1B0C6" w:rsidR="00EE23D1" w:rsidRDefault="00EE23D1" w:rsidP="00EE23D1">
      <w:pPr>
        <w:tabs>
          <w:tab w:val="num" w:pos="540"/>
        </w:tabs>
        <w:spacing w:after="0" w:line="276" w:lineRule="auto"/>
        <w:jc w:val="both"/>
        <w:rPr>
          <w:rFonts w:ascii="Trebuchet MS" w:hAnsi="Trebuchet MS" w:cs="Trebuchet MS"/>
          <w:bCs/>
          <w:sz w:val="20"/>
          <w:szCs w:val="20"/>
        </w:rPr>
      </w:pPr>
      <w:r>
        <w:t xml:space="preserve">Mansi Doshi </w:t>
      </w:r>
      <w:r>
        <w:t xml:space="preserve">(nee. Shah) </w:t>
      </w:r>
      <w:r>
        <w:t xml:space="preserve">is a clinical pharmacist with over </w:t>
      </w:r>
      <w:r>
        <w:t xml:space="preserve">20 </w:t>
      </w:r>
      <w:r>
        <w:t xml:space="preserve">years of national and international experience in </w:t>
      </w:r>
      <w:r>
        <w:t>p</w:t>
      </w:r>
      <w:r>
        <w:t xml:space="preserve">harmacy </w:t>
      </w:r>
      <w:r>
        <w:t>p</w:t>
      </w:r>
      <w:r>
        <w:t xml:space="preserve">ractice, </w:t>
      </w:r>
      <w:r w:rsidRPr="00EF4ECC">
        <w:rPr>
          <w:rFonts w:ascii="Trebuchet MS" w:hAnsi="Trebuchet MS" w:cs="Trebuchet MS"/>
          <w:bCs/>
          <w:sz w:val="20"/>
          <w:szCs w:val="20"/>
        </w:rPr>
        <w:t>medicines optimisation, patient safety</w:t>
      </w:r>
      <w:r>
        <w:rPr>
          <w:rFonts w:ascii="Trebuchet MS" w:hAnsi="Trebuchet MS" w:cs="Trebuchet MS"/>
          <w:bCs/>
          <w:sz w:val="20"/>
          <w:szCs w:val="20"/>
        </w:rPr>
        <w:t xml:space="preserve"> and </w:t>
      </w:r>
      <w:r w:rsidRPr="00EF4ECC">
        <w:rPr>
          <w:rFonts w:ascii="Trebuchet MS" w:hAnsi="Trebuchet MS" w:cs="Trebuchet MS"/>
          <w:bCs/>
          <w:sz w:val="20"/>
          <w:szCs w:val="20"/>
        </w:rPr>
        <w:t>continuous professional development</w:t>
      </w:r>
      <w:r>
        <w:rPr>
          <w:rFonts w:ascii="Trebuchet MS" w:hAnsi="Trebuchet MS" w:cs="Trebuchet MS"/>
          <w:bCs/>
          <w:sz w:val="20"/>
          <w:szCs w:val="20"/>
        </w:rPr>
        <w:t>.</w:t>
      </w:r>
      <w:r>
        <w:rPr>
          <w:rFonts w:ascii="Trebuchet MS" w:hAnsi="Trebuchet MS" w:cs="Trebuchet MS"/>
          <w:bCs/>
          <w:sz w:val="20"/>
          <w:szCs w:val="20"/>
        </w:rPr>
        <w:t xml:space="preserve">  She pioneered an independent clinical pharmacy service </w:t>
      </w:r>
      <w:r w:rsidR="00EE090F">
        <w:rPr>
          <w:rFonts w:ascii="Trebuchet MS" w:hAnsi="Trebuchet MS" w:cs="Trebuchet MS"/>
          <w:bCs/>
          <w:sz w:val="20"/>
          <w:szCs w:val="20"/>
        </w:rPr>
        <w:t xml:space="preserve">in primary care </w:t>
      </w:r>
      <w:r>
        <w:rPr>
          <w:rFonts w:ascii="Trebuchet MS" w:hAnsi="Trebuchet MS" w:cs="Trebuchet MS"/>
          <w:bCs/>
          <w:sz w:val="20"/>
          <w:szCs w:val="20"/>
        </w:rPr>
        <w:t>in India</w:t>
      </w:r>
      <w:r w:rsidR="00EE090F">
        <w:rPr>
          <w:rFonts w:ascii="Trebuchet MS" w:hAnsi="Trebuchet MS" w:cs="Trebuchet MS"/>
          <w:bCs/>
          <w:sz w:val="20"/>
          <w:szCs w:val="20"/>
        </w:rPr>
        <w:t>,</w:t>
      </w:r>
      <w:r>
        <w:rPr>
          <w:rFonts w:ascii="Trebuchet MS" w:hAnsi="Trebuchet MS" w:cs="Trebuchet MS"/>
          <w:bCs/>
          <w:sz w:val="20"/>
          <w:szCs w:val="20"/>
        </w:rPr>
        <w:t xml:space="preserve"> after training, education and practice </w:t>
      </w:r>
      <w:r w:rsidR="00EE090F">
        <w:rPr>
          <w:rFonts w:ascii="Trebuchet MS" w:hAnsi="Trebuchet MS" w:cs="Trebuchet MS"/>
          <w:bCs/>
          <w:sz w:val="20"/>
          <w:szCs w:val="20"/>
        </w:rPr>
        <w:t xml:space="preserve">and teaching </w:t>
      </w:r>
      <w:r>
        <w:rPr>
          <w:rFonts w:ascii="Trebuchet MS" w:hAnsi="Trebuchet MS" w:cs="Trebuchet MS"/>
          <w:bCs/>
          <w:sz w:val="20"/>
          <w:szCs w:val="20"/>
        </w:rPr>
        <w:t xml:space="preserve">experience in the UK.  </w:t>
      </w:r>
      <w:r w:rsidR="00EE090F">
        <w:rPr>
          <w:rFonts w:ascii="Trebuchet MS" w:hAnsi="Trebuchet MS" w:cs="Trebuchet MS"/>
          <w:bCs/>
          <w:sz w:val="20"/>
          <w:szCs w:val="20"/>
        </w:rPr>
        <w:t>She is an Executive committee member of the Academic Pharmacy section of FIP, its Communication and Collaboration WG lead and newsletter editor.  Mansi strives towards supporting service development</w:t>
      </w:r>
    </w:p>
    <w:sectPr w:rsidR="00EE23D1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5D785" w14:textId="77777777" w:rsidR="00D41D00" w:rsidRDefault="00D41D00" w:rsidP="0042662D">
      <w:pPr>
        <w:spacing w:after="0" w:line="240" w:lineRule="auto"/>
      </w:pPr>
      <w:r>
        <w:separator/>
      </w:r>
    </w:p>
  </w:endnote>
  <w:endnote w:type="continuationSeparator" w:id="0">
    <w:p w14:paraId="1AB5548B" w14:textId="77777777" w:rsidR="00D41D00" w:rsidRDefault="00D41D00" w:rsidP="0042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1D2C" w14:textId="7FA96AA1" w:rsidR="0042662D" w:rsidRDefault="0042662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5E8777" wp14:editId="2C4F778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815" cy="1013269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5815" cy="1013269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0A6D1F4" id="Rectangle 1" o:spid="_x0000_s1026" style="position:absolute;margin-left:0;margin-top:0;width:563.45pt;height:797.8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" filled="f" strokecolor="#747070 [1614]" strokeweight="1.25pt">
              <v:path arrowok="t"/>
              <w10:wrap anchorx="page" anchory="page"/>
            </v:rect>
          </w:pict>
        </mc:Fallback>
      </mc:AlternateContent>
    </w:r>
    <w:r>
      <w:rPr>
        <w:rFonts w:eastAsiaTheme="minorEastAsia"/>
        <w:color w:val="4472C4" w:themeColor="accent1"/>
        <w:sz w:val="20"/>
        <w:szCs w:val="20"/>
      </w:rPr>
      <w:t>11 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A7534" w14:textId="77777777" w:rsidR="00D41D00" w:rsidRDefault="00D41D00" w:rsidP="0042662D">
      <w:pPr>
        <w:spacing w:after="0" w:line="240" w:lineRule="auto"/>
      </w:pPr>
      <w:r>
        <w:separator/>
      </w:r>
    </w:p>
  </w:footnote>
  <w:footnote w:type="continuationSeparator" w:id="0">
    <w:p w14:paraId="1B089863" w14:textId="77777777" w:rsidR="00D41D00" w:rsidRDefault="00D41D00" w:rsidP="00426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462A9"/>
    <w:multiLevelType w:val="multilevel"/>
    <w:tmpl w:val="8F02E0EC"/>
    <w:lvl w:ilvl="0">
      <w:start w:val="1"/>
      <w:numFmt w:val="decimal"/>
      <w:lvlText w:val="[%1]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693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51"/>
    <w:rsid w:val="00036188"/>
    <w:rsid w:val="001A3D51"/>
    <w:rsid w:val="0042662D"/>
    <w:rsid w:val="00577546"/>
    <w:rsid w:val="00630BA9"/>
    <w:rsid w:val="00631970"/>
    <w:rsid w:val="006514B4"/>
    <w:rsid w:val="006C2DC2"/>
    <w:rsid w:val="00757555"/>
    <w:rsid w:val="007C5F35"/>
    <w:rsid w:val="007D1ED2"/>
    <w:rsid w:val="008D6446"/>
    <w:rsid w:val="008F331B"/>
    <w:rsid w:val="009E7162"/>
    <w:rsid w:val="00A71169"/>
    <w:rsid w:val="00AF3118"/>
    <w:rsid w:val="00B554DD"/>
    <w:rsid w:val="00B94912"/>
    <w:rsid w:val="00BB2538"/>
    <w:rsid w:val="00D41D00"/>
    <w:rsid w:val="00D66898"/>
    <w:rsid w:val="00DF4AC8"/>
    <w:rsid w:val="00EE090F"/>
    <w:rsid w:val="00EE23D1"/>
    <w:rsid w:val="00FC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ED63B"/>
  <w15:docId w15:val="{51AD28EB-9362-4A60-97EA-967FA3DC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E71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426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62D"/>
  </w:style>
  <w:style w:type="paragraph" w:styleId="Footer">
    <w:name w:val="footer"/>
    <w:basedOn w:val="Normal"/>
    <w:link w:val="FooterChar"/>
    <w:uiPriority w:val="99"/>
    <w:unhideWhenUsed/>
    <w:rsid w:val="00426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62D"/>
  </w:style>
  <w:style w:type="character" w:customStyle="1" w:styleId="Heading1Char">
    <w:name w:val="Heading 1 Char"/>
    <w:basedOn w:val="DefaultParagraphFont"/>
    <w:link w:val="Heading1"/>
    <w:uiPriority w:val="9"/>
    <w:rsid w:val="009E7162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ListParagraph">
    <w:name w:val="List Paragraph"/>
    <w:basedOn w:val="Normal"/>
    <w:uiPriority w:val="34"/>
    <w:qFormat/>
    <w:rsid w:val="009E71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716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9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who.int/iris/bitstream/handle/10665/255263/WHO-HIS-SDS-2017.6-eng.pdf?sequence=1)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186/s40545-022-00416-0" TargetMode="External"/><Relationship Id="rId12" Type="http://schemas.openxmlformats.org/officeDocument/2006/relationships/hyperlink" Target="https://www.fip.org/file/479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ngland.nhs.uk/medicines-2/medicines-optimisation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ice.org.uk/guidance/ng5/resources/medicines-optimisation-the-safe-and-effective-use-of-medicines-to-enable-the-best-possible-outcomes-pdf-510418052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ho.int/publications/i/item/97892400327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Doshi</dc:creator>
  <cp:keywords/>
  <dc:description/>
  <cp:lastModifiedBy>Mansi Doshi</cp:lastModifiedBy>
  <cp:revision>6</cp:revision>
  <dcterms:created xsi:type="dcterms:W3CDTF">2022-04-11T01:57:00Z</dcterms:created>
  <dcterms:modified xsi:type="dcterms:W3CDTF">2022-04-11T20:46:00Z</dcterms:modified>
</cp:coreProperties>
</file>