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450BC8" w14:textId="1B42D0C1" w:rsidR="00AE3E37" w:rsidRDefault="009D11FC" w:rsidP="00494130">
      <w:pPr>
        <w:pStyle w:val="Heading1"/>
        <w:spacing w:before="170"/>
        <w:ind w:left="0"/>
      </w:pPr>
      <w:r>
        <w:rPr>
          <w:color w:val="337AB7"/>
        </w:rPr>
        <w:t>Food Insecurity &amp; School Absenteeism among Rural Children</w:t>
      </w:r>
    </w:p>
    <w:p w14:paraId="0AE7EF1B" w14:textId="245D0B33" w:rsidR="005973B9" w:rsidRDefault="0078738A" w:rsidP="001C2FDF">
      <w:pPr>
        <w:pStyle w:val="BodyText"/>
        <w:spacing w:before="73" w:line="198" w:lineRule="exact"/>
        <w:ind w:left="100" w:right="5987"/>
        <w:jc w:val="both"/>
        <w:rPr>
          <w:rFonts w:ascii="Arial"/>
        </w:rPr>
      </w:pPr>
      <w:r>
        <w:rPr>
          <w:rFonts w:ascii="Arial"/>
        </w:rPr>
        <w:t>Dr A</w:t>
      </w:r>
      <w:r w:rsidR="009D11FC">
        <w:rPr>
          <w:rFonts w:ascii="Arial"/>
        </w:rPr>
        <w:t>shekur Rahman Mullick, MPH Student, Department of Occupational &amp; Environmental Health, National Institute of Preventive &amp; Social Medicine (NIPSOM), Dhaka, Bangladesh</w:t>
      </w:r>
    </w:p>
    <w:p w14:paraId="7ECC93B4" w14:textId="77777777" w:rsidR="00AE3E37" w:rsidRDefault="00AE3E37">
      <w:pPr>
        <w:pStyle w:val="BodyText"/>
        <w:rPr>
          <w:rFonts w:ascii="Arial"/>
          <w:sz w:val="20"/>
        </w:rPr>
      </w:pPr>
    </w:p>
    <w:p w14:paraId="094B69BD" w14:textId="77777777" w:rsidR="00AE3E37" w:rsidRDefault="00AE3E37">
      <w:pPr>
        <w:pStyle w:val="BodyText"/>
        <w:spacing w:before="3"/>
        <w:rPr>
          <w:rFonts w:ascii="Arial"/>
          <w:sz w:val="21"/>
        </w:rPr>
      </w:pPr>
    </w:p>
    <w:p w14:paraId="2D24293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F4CF2BF" w14:textId="7D2FDF40" w:rsidR="00AE3E37" w:rsidRDefault="00A9710C">
      <w:pPr>
        <w:pStyle w:val="Heading3"/>
        <w:spacing w:before="147"/>
        <w:jc w:val="both"/>
      </w:pPr>
      <w:r>
        <w:rPr>
          <w:color w:val="BF5A14"/>
        </w:rPr>
        <w:t>Abstract</w:t>
      </w:r>
      <w:r w:rsidR="00404E5B">
        <w:rPr>
          <w:color w:val="BF5A14"/>
        </w:rPr>
        <w:t xml:space="preserve"> </w:t>
      </w:r>
    </w:p>
    <w:p w14:paraId="1B35FBAE" w14:textId="77777777" w:rsidR="009D11FC" w:rsidRPr="009D11FC" w:rsidRDefault="009D11FC" w:rsidP="009D11FC">
      <w:pPr>
        <w:pStyle w:val="Heading3"/>
        <w:spacing w:before="74"/>
        <w:jc w:val="both"/>
        <w:rPr>
          <w:b w:val="0"/>
          <w:bCs w:val="0"/>
          <w:sz w:val="18"/>
          <w:szCs w:val="18"/>
        </w:rPr>
      </w:pPr>
      <w:r w:rsidRPr="009D11FC">
        <w:rPr>
          <w:b w:val="0"/>
          <w:bCs w:val="0"/>
          <w:sz w:val="18"/>
          <w:szCs w:val="18"/>
        </w:rPr>
        <w:t xml:space="preserve">This study aimed to assess to what extent food insecurity affects school absenteeism among rural school going children. A school based cross-sectional study was conducted among 460 rural school going children (class 4 to class 10) in Saltha upaziila of Faridpur district, Bangladesh from January-December, 2019. Children providing assent after getting </w:t>
      </w:r>
      <w:r w:rsidRPr="009D11FC">
        <w:rPr>
          <w:b w:val="0"/>
          <w:bCs w:val="0"/>
          <w:sz w:val="18"/>
          <w:szCs w:val="18"/>
          <w:lang w:val="en-GB"/>
        </w:rPr>
        <w:t xml:space="preserve">consent from their parents were inducted as study participants. </w:t>
      </w:r>
      <w:r w:rsidRPr="009D11FC">
        <w:rPr>
          <w:b w:val="0"/>
          <w:bCs w:val="0"/>
          <w:sz w:val="18"/>
          <w:szCs w:val="18"/>
        </w:rPr>
        <w:t xml:space="preserve">Semi-structured questionnaire was used to collect data on the food insecurity and socio-demographic variables. To examine further the paths from food insecurity to absenteeism through child work activities, recursive path analysis was used in which activities were regressed on child food insecurity by using linear regression and absenteeism was regressed on child food insecurity and work activities by using binary logistic regression using odds ratio and 95 % of confidence intervals. Level of significant was set at 0.05. Among the participants about 53.7% were female and in 52.7% cases participant’s father were farmer and their mean income was 98208.18 ± 13618.196 Taka per year. Findings of Binary logistic regression analysis also showed that food insecurity was positively associated with helping of parents for household shopping, cooking, taking care of siblings, participating in school sports, watching TV during leisure time. However, helping parents in field for raising food crops and taking evening nap were negatively associated with food insecurity. Findings of this study showed that the frequency of adolescent school absenteeism was significantly high (39.6 %) among moderately food insecure groups (P &lt; 0.001). Age of participants (p=0.000), Educational status of participants (p=0.00), Head of family (p=0.017), House type (p=0.000), Paternal occupation (p=0.0145) and household economic status (p=0.000) were significantly associated with food insecurity status. </w:t>
      </w:r>
      <w:bookmarkStart w:id="0" w:name="_Hlk27295769"/>
      <w:r w:rsidRPr="009D11FC">
        <w:rPr>
          <w:b w:val="0"/>
          <w:bCs w:val="0"/>
          <w:sz w:val="18"/>
          <w:szCs w:val="18"/>
        </w:rPr>
        <w:t>Therefore, national policies and programs need to stress on how to improve family income, earning capacity, housing condition, educational status by introducing different types of opportunities and socioeconomic status to handle food insecurity which is a key contributor of school absenteeism.</w:t>
      </w:r>
      <w:bookmarkEnd w:id="0"/>
    </w:p>
    <w:p w14:paraId="01050739" w14:textId="50EB4A8D" w:rsidR="009D11FC" w:rsidRDefault="009D11FC" w:rsidP="009D11FC">
      <w:pPr>
        <w:pStyle w:val="Heading3"/>
        <w:spacing w:before="74"/>
        <w:jc w:val="both"/>
        <w:rPr>
          <w:b w:val="0"/>
          <w:bCs w:val="0"/>
          <w:sz w:val="18"/>
          <w:szCs w:val="18"/>
        </w:rPr>
      </w:pPr>
      <w:r w:rsidRPr="009D11FC">
        <w:rPr>
          <w:sz w:val="18"/>
          <w:szCs w:val="18"/>
        </w:rPr>
        <w:t>Keywords:</w:t>
      </w:r>
      <w:r w:rsidRPr="009D11FC">
        <w:rPr>
          <w:b w:val="0"/>
          <w:bCs w:val="0"/>
          <w:sz w:val="18"/>
          <w:szCs w:val="18"/>
        </w:rPr>
        <w:t xml:space="preserve"> Absenteeism, Rural, School going children, Insecurity.</w:t>
      </w:r>
    </w:p>
    <w:p w14:paraId="6D97E6E0" w14:textId="77777777" w:rsidR="001C2FDF" w:rsidRPr="009D11FC" w:rsidRDefault="001C2FDF" w:rsidP="009D11FC">
      <w:pPr>
        <w:pStyle w:val="Heading3"/>
        <w:spacing w:before="74"/>
        <w:jc w:val="both"/>
        <w:rPr>
          <w:b w:val="0"/>
          <w:bCs w:val="0"/>
          <w:sz w:val="18"/>
          <w:szCs w:val="18"/>
        </w:rPr>
      </w:pPr>
    </w:p>
    <w:p w14:paraId="55AE4603" w14:textId="77777777" w:rsidR="00AE3E37" w:rsidRDefault="00A9710C">
      <w:pPr>
        <w:pStyle w:val="Heading3"/>
        <w:spacing w:before="74"/>
      </w:pPr>
      <w:r>
        <w:rPr>
          <w:b w:val="0"/>
        </w:rPr>
        <w:br w:type="column"/>
      </w:r>
      <w:r>
        <w:rPr>
          <w:color w:val="BF5A14"/>
        </w:rPr>
        <w:t>Image</w:t>
      </w:r>
    </w:p>
    <w:p w14:paraId="19C0BBAE" w14:textId="71D0944A" w:rsidR="00AE3E37" w:rsidRDefault="001C2FDF">
      <w:pPr>
        <w:pStyle w:val="BodyText"/>
        <w:spacing w:before="2"/>
        <w:rPr>
          <w:rFonts w:ascii="Arial"/>
          <w:b/>
          <w:sz w:val="16"/>
        </w:rPr>
      </w:pPr>
      <w:r w:rsidRPr="001C2FDF">
        <w:drawing>
          <wp:inline distT="0" distB="0" distL="0" distR="0" wp14:anchorId="0F76ABAE" wp14:editId="03ABB6F7">
            <wp:extent cx="3258185" cy="1133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8375" b="9852"/>
                    <a:stretch/>
                  </pic:blipFill>
                  <pic:spPr bwMode="auto">
                    <a:xfrm>
                      <a:off x="0" y="0"/>
                      <a:ext cx="3258185" cy="1133475"/>
                    </a:xfrm>
                    <a:prstGeom prst="rect">
                      <a:avLst/>
                    </a:prstGeom>
                    <a:ln>
                      <a:noFill/>
                    </a:ln>
                    <a:extLst>
                      <a:ext uri="{53640926-AAD7-44D8-BBD7-CCE9431645EC}">
                        <a14:shadowObscured xmlns:a14="http://schemas.microsoft.com/office/drawing/2010/main"/>
                      </a:ext>
                    </a:extLst>
                  </pic:spPr>
                </pic:pic>
              </a:graphicData>
            </a:graphic>
          </wp:inline>
        </w:drawing>
      </w:r>
      <w:bookmarkStart w:id="1" w:name="_GoBack"/>
      <w:bookmarkEnd w:id="1"/>
    </w:p>
    <w:p w14:paraId="4FCB94EC" w14:textId="3C85D0AF" w:rsidR="001C2FDF" w:rsidRDefault="001C2FDF" w:rsidP="001C2FDF">
      <w:pPr>
        <w:spacing w:line="204" w:lineRule="exact"/>
        <w:jc w:val="center"/>
        <w:rPr>
          <w:rFonts w:ascii="Arial"/>
          <w:b/>
          <w:color w:val="BF5A14"/>
          <w:sz w:val="20"/>
        </w:rPr>
      </w:pPr>
      <w:r w:rsidRPr="001C2FDF">
        <w:rPr>
          <w:rFonts w:ascii="Arial"/>
          <w:b/>
          <w:color w:val="BF5A14"/>
          <w:sz w:val="18"/>
          <w:szCs w:val="20"/>
        </w:rPr>
        <w:t>Fig: Flow chart of Food Insecurity</w:t>
      </w:r>
      <w:r w:rsidR="005973B9">
        <w:rPr>
          <w:rFonts w:ascii="Arial"/>
          <w:b/>
          <w:color w:val="BF5A14"/>
          <w:sz w:val="20"/>
        </w:rPr>
        <w:br/>
      </w:r>
    </w:p>
    <w:p w14:paraId="11ECCCD8" w14:textId="6D96DDE5" w:rsidR="005973B9" w:rsidRDefault="005973B9" w:rsidP="005973B9">
      <w:pPr>
        <w:spacing w:line="204" w:lineRule="exact"/>
        <w:rPr>
          <w:rFonts w:ascii="Arial"/>
          <w:b/>
          <w:sz w:val="20"/>
        </w:rPr>
      </w:pPr>
      <w:r>
        <w:rPr>
          <w:rFonts w:ascii="Arial"/>
          <w:b/>
          <w:color w:val="BF5A14"/>
          <w:sz w:val="20"/>
        </w:rPr>
        <w:t>Recent Publications</w:t>
      </w:r>
    </w:p>
    <w:p w14:paraId="7620BF13" w14:textId="77777777" w:rsidR="001C2FDF" w:rsidRPr="001C2FDF" w:rsidRDefault="001C2FDF" w:rsidP="001C2FDF">
      <w:pPr>
        <w:pStyle w:val="ListParagraph"/>
        <w:numPr>
          <w:ilvl w:val="0"/>
          <w:numId w:val="3"/>
        </w:numPr>
        <w:tabs>
          <w:tab w:val="left" w:pos="384"/>
        </w:tabs>
        <w:spacing w:line="216" w:lineRule="exact"/>
        <w:ind w:right="137" w:hanging="283"/>
        <w:rPr>
          <w:sz w:val="18"/>
          <w:szCs w:val="18"/>
        </w:rPr>
      </w:pPr>
      <w:proofErr w:type="spellStart"/>
      <w:r w:rsidRPr="001C2FDF">
        <w:rPr>
          <w:sz w:val="18"/>
          <w:szCs w:val="18"/>
        </w:rPr>
        <w:t>Agbadi</w:t>
      </w:r>
      <w:proofErr w:type="spellEnd"/>
      <w:r w:rsidRPr="001C2FDF">
        <w:rPr>
          <w:sz w:val="18"/>
          <w:szCs w:val="18"/>
        </w:rPr>
        <w:t xml:space="preserve">, P., </w:t>
      </w:r>
      <w:proofErr w:type="spellStart"/>
      <w:r w:rsidRPr="001C2FDF">
        <w:rPr>
          <w:sz w:val="18"/>
          <w:szCs w:val="18"/>
        </w:rPr>
        <w:t>Bj</w:t>
      </w:r>
      <w:proofErr w:type="spellEnd"/>
      <w:r w:rsidRPr="001C2FDF">
        <w:rPr>
          <w:sz w:val="18"/>
          <w:szCs w:val="18"/>
        </w:rPr>
        <w:t xml:space="preserve">, H. and </w:t>
      </w:r>
      <w:proofErr w:type="spellStart"/>
      <w:r w:rsidRPr="001C2FDF">
        <w:rPr>
          <w:sz w:val="18"/>
          <w:szCs w:val="18"/>
        </w:rPr>
        <w:t>Mittelmark</w:t>
      </w:r>
      <w:proofErr w:type="spellEnd"/>
      <w:r w:rsidRPr="001C2FDF">
        <w:rPr>
          <w:sz w:val="18"/>
          <w:szCs w:val="18"/>
        </w:rPr>
        <w:t xml:space="preserve">, M. B. (2017) ‘Household food security and adequacy of child diet in the food insecure region north in Ghana’, pp. 1–16. </w:t>
      </w:r>
      <w:proofErr w:type="spellStart"/>
      <w:r w:rsidRPr="001C2FDF">
        <w:rPr>
          <w:sz w:val="18"/>
          <w:szCs w:val="18"/>
        </w:rPr>
        <w:t>doi</w:t>
      </w:r>
      <w:proofErr w:type="spellEnd"/>
      <w:r w:rsidRPr="001C2FDF">
        <w:rPr>
          <w:sz w:val="18"/>
          <w:szCs w:val="18"/>
        </w:rPr>
        <w:t>: 10.1371/journal.pone.0177377.</w:t>
      </w:r>
    </w:p>
    <w:p w14:paraId="5401B1F3" w14:textId="3D3B61D8" w:rsidR="001C2FDF" w:rsidRPr="001C2FDF" w:rsidRDefault="001C2FDF" w:rsidP="001C2FDF">
      <w:pPr>
        <w:pStyle w:val="ListParagraph"/>
        <w:numPr>
          <w:ilvl w:val="0"/>
          <w:numId w:val="3"/>
        </w:numPr>
        <w:tabs>
          <w:tab w:val="left" w:pos="384"/>
        </w:tabs>
        <w:spacing w:line="216" w:lineRule="exact"/>
        <w:ind w:right="137" w:hanging="283"/>
        <w:rPr>
          <w:sz w:val="18"/>
          <w:szCs w:val="18"/>
        </w:rPr>
      </w:pPr>
      <w:proofErr w:type="spellStart"/>
      <w:r w:rsidRPr="001C2FDF">
        <w:rPr>
          <w:sz w:val="18"/>
          <w:szCs w:val="18"/>
        </w:rPr>
        <w:t>Daneshzad</w:t>
      </w:r>
      <w:proofErr w:type="spellEnd"/>
      <w:r w:rsidRPr="001C2FDF">
        <w:rPr>
          <w:sz w:val="18"/>
          <w:szCs w:val="18"/>
        </w:rPr>
        <w:t xml:space="preserve">, E., Yavari, P. and Rahimi-foroshani, A. (2015) ‘Food </w:t>
      </w:r>
      <w:r w:rsidRPr="001C2FDF">
        <w:rPr>
          <w:sz w:val="18"/>
          <w:szCs w:val="18"/>
        </w:rPr>
        <w:t>insecurity,</w:t>
      </w:r>
      <w:r w:rsidRPr="001C2FDF">
        <w:rPr>
          <w:sz w:val="18"/>
          <w:szCs w:val="18"/>
        </w:rPr>
        <w:t xml:space="preserve"> socio-economic </w:t>
      </w:r>
      <w:r w:rsidRPr="001C2FDF">
        <w:rPr>
          <w:sz w:val="18"/>
          <w:szCs w:val="18"/>
        </w:rPr>
        <w:t>status,</w:t>
      </w:r>
      <w:r w:rsidRPr="001C2FDF">
        <w:rPr>
          <w:sz w:val="18"/>
          <w:szCs w:val="18"/>
        </w:rPr>
        <w:t xml:space="preserve"> and educational </w:t>
      </w:r>
      <w:r w:rsidRPr="001C2FDF">
        <w:rPr>
          <w:sz w:val="18"/>
          <w:szCs w:val="18"/>
        </w:rPr>
        <w:t>achievement:</w:t>
      </w:r>
      <w:r w:rsidRPr="001C2FDF">
        <w:rPr>
          <w:sz w:val="18"/>
          <w:szCs w:val="18"/>
        </w:rPr>
        <w:t xml:space="preserve"> a cross-sectional study in high school </w:t>
      </w:r>
      <w:r w:rsidRPr="001C2FDF">
        <w:rPr>
          <w:sz w:val="18"/>
          <w:szCs w:val="18"/>
        </w:rPr>
        <w:t>girls,</w:t>
      </w:r>
      <w:r w:rsidRPr="001C2FDF">
        <w:rPr>
          <w:sz w:val="18"/>
          <w:szCs w:val="18"/>
        </w:rPr>
        <w:t xml:space="preserve"> </w:t>
      </w:r>
      <w:r w:rsidRPr="001C2FDF">
        <w:rPr>
          <w:sz w:val="18"/>
          <w:szCs w:val="18"/>
        </w:rPr>
        <w:t>Noshahr,</w:t>
      </w:r>
      <w:r w:rsidRPr="001C2FDF">
        <w:rPr>
          <w:sz w:val="18"/>
          <w:szCs w:val="18"/>
        </w:rPr>
        <w:t xml:space="preserve"> Iran’, 1(3), pp. 141–148.</w:t>
      </w:r>
    </w:p>
    <w:p w14:paraId="7381D4E5" w14:textId="77777777" w:rsidR="001C2FDF" w:rsidRDefault="001C2FDF" w:rsidP="001C2FDF">
      <w:pPr>
        <w:pStyle w:val="ListParagraph"/>
        <w:numPr>
          <w:ilvl w:val="0"/>
          <w:numId w:val="3"/>
        </w:numPr>
        <w:tabs>
          <w:tab w:val="left" w:pos="384"/>
        </w:tabs>
        <w:spacing w:line="216" w:lineRule="exact"/>
        <w:ind w:right="137" w:hanging="283"/>
        <w:rPr>
          <w:sz w:val="18"/>
          <w:szCs w:val="18"/>
        </w:rPr>
      </w:pPr>
      <w:r w:rsidRPr="001C2FDF">
        <w:rPr>
          <w:sz w:val="18"/>
          <w:szCs w:val="18"/>
        </w:rPr>
        <w:t xml:space="preserve">Darling, E. S. (2014) ‘Assessing the Effect of Marine Reserves on Household Food Security in Kenyan Coral Reef Fishing Communities’, pp. 1–20. </w:t>
      </w:r>
      <w:proofErr w:type="spellStart"/>
      <w:r w:rsidRPr="001C2FDF">
        <w:rPr>
          <w:sz w:val="18"/>
          <w:szCs w:val="18"/>
        </w:rPr>
        <w:t>doi</w:t>
      </w:r>
      <w:proofErr w:type="spellEnd"/>
      <w:r w:rsidRPr="001C2FDF">
        <w:rPr>
          <w:sz w:val="18"/>
          <w:szCs w:val="18"/>
        </w:rPr>
        <w:t xml:space="preserve">: </w:t>
      </w:r>
      <w:r w:rsidRPr="001C2FDF">
        <w:rPr>
          <w:sz w:val="18"/>
          <w:szCs w:val="18"/>
        </w:rPr>
        <w:t>10.1371/journal. Pone. 0113614.</w:t>
      </w:r>
    </w:p>
    <w:p w14:paraId="00581E16" w14:textId="56D14A74" w:rsidR="00AE3E37" w:rsidRPr="001C2FDF" w:rsidRDefault="001C2FDF" w:rsidP="001C2FDF">
      <w:pPr>
        <w:pStyle w:val="ListParagraph"/>
        <w:numPr>
          <w:ilvl w:val="0"/>
          <w:numId w:val="3"/>
        </w:numPr>
        <w:tabs>
          <w:tab w:val="left" w:pos="384"/>
        </w:tabs>
        <w:spacing w:line="216" w:lineRule="exact"/>
        <w:ind w:right="137" w:hanging="283"/>
        <w:rPr>
          <w:sz w:val="14"/>
          <w:szCs w:val="14"/>
        </w:rPr>
      </w:pPr>
      <w:r w:rsidRPr="001C2FDF">
        <w:rPr>
          <w:sz w:val="18"/>
          <w:szCs w:val="18"/>
        </w:rPr>
        <w:t>Gerritsen, S. (2016) ‘Children, Food and Poverty Food Insecurity among Primary School Students in The Wellington Region’, (April).</w:t>
      </w:r>
    </w:p>
    <w:p w14:paraId="36222852" w14:textId="51E2ADA5" w:rsidR="001C2FDF" w:rsidRDefault="001C2FDF" w:rsidP="001C2FDF">
      <w:pPr>
        <w:pStyle w:val="ListParagraph"/>
        <w:numPr>
          <w:ilvl w:val="0"/>
          <w:numId w:val="3"/>
        </w:numPr>
        <w:tabs>
          <w:tab w:val="left" w:pos="384"/>
        </w:tabs>
        <w:spacing w:line="216" w:lineRule="exact"/>
        <w:ind w:right="137" w:hanging="283"/>
        <w:rPr>
          <w:sz w:val="18"/>
          <w:szCs w:val="18"/>
        </w:rPr>
      </w:pPr>
      <w:r w:rsidRPr="001C2FDF">
        <w:rPr>
          <w:sz w:val="18"/>
          <w:szCs w:val="18"/>
        </w:rPr>
        <w:t xml:space="preserve">Kearney, C. A. and </w:t>
      </w:r>
      <w:proofErr w:type="spellStart"/>
      <w:r w:rsidRPr="001C2FDF">
        <w:rPr>
          <w:sz w:val="18"/>
          <w:szCs w:val="18"/>
        </w:rPr>
        <w:t>Bensaheb</w:t>
      </w:r>
      <w:proofErr w:type="spellEnd"/>
      <w:r w:rsidRPr="001C2FDF">
        <w:rPr>
          <w:sz w:val="18"/>
          <w:szCs w:val="18"/>
        </w:rPr>
        <w:t xml:space="preserve">, A. (2006) ‘School Absenteeism and School Refusal </w:t>
      </w:r>
      <w:r w:rsidRPr="001C2FDF">
        <w:rPr>
          <w:sz w:val="18"/>
          <w:szCs w:val="18"/>
        </w:rPr>
        <w:t>Behavior:</w:t>
      </w:r>
      <w:r w:rsidRPr="001C2FDF">
        <w:rPr>
          <w:sz w:val="18"/>
          <w:szCs w:val="18"/>
        </w:rPr>
        <w:t xml:space="preserve"> A Review and Suggestions for School-Based Health Professionals’, 76(1), pp. 3–7.</w:t>
      </w:r>
    </w:p>
    <w:p w14:paraId="004C5719" w14:textId="445E7A6E" w:rsidR="001C2FDF" w:rsidRPr="001C2FDF" w:rsidRDefault="001C2FDF" w:rsidP="001C2FDF">
      <w:pPr>
        <w:pStyle w:val="ListParagraph"/>
        <w:numPr>
          <w:ilvl w:val="0"/>
          <w:numId w:val="3"/>
        </w:numPr>
        <w:tabs>
          <w:tab w:val="left" w:pos="384"/>
        </w:tabs>
        <w:spacing w:line="216" w:lineRule="exact"/>
        <w:ind w:right="137" w:hanging="283"/>
        <w:rPr>
          <w:sz w:val="18"/>
          <w:szCs w:val="18"/>
        </w:rPr>
      </w:pPr>
      <w:proofErr w:type="spellStart"/>
      <w:r w:rsidRPr="001C2FDF">
        <w:rPr>
          <w:sz w:val="18"/>
          <w:szCs w:val="18"/>
        </w:rPr>
        <w:t>Tamiru</w:t>
      </w:r>
      <w:proofErr w:type="spellEnd"/>
      <w:r w:rsidRPr="001C2FDF">
        <w:rPr>
          <w:sz w:val="18"/>
          <w:szCs w:val="18"/>
        </w:rPr>
        <w:t xml:space="preserve">, D. et al. (2016) ‘Household food insecurity and its association with school absenteeism among primary school adolescents in </w:t>
      </w:r>
      <w:proofErr w:type="spellStart"/>
      <w:r w:rsidRPr="001C2FDF">
        <w:rPr>
          <w:sz w:val="18"/>
          <w:szCs w:val="18"/>
        </w:rPr>
        <w:t>Jimma</w:t>
      </w:r>
      <w:proofErr w:type="spellEnd"/>
      <w:r w:rsidRPr="001C2FDF">
        <w:rPr>
          <w:sz w:val="18"/>
          <w:szCs w:val="18"/>
        </w:rPr>
        <w:t xml:space="preserve"> </w:t>
      </w:r>
      <w:r w:rsidRPr="001C2FDF">
        <w:rPr>
          <w:sz w:val="18"/>
          <w:szCs w:val="18"/>
        </w:rPr>
        <w:t>zone,</w:t>
      </w:r>
      <w:r w:rsidRPr="001C2FDF">
        <w:rPr>
          <w:sz w:val="18"/>
          <w:szCs w:val="18"/>
        </w:rPr>
        <w:t xml:space="preserve"> Ethiopia’, BMC Public Health. BMC Public Health, pp. 1–8. </w:t>
      </w:r>
      <w:proofErr w:type="spellStart"/>
      <w:r w:rsidRPr="001C2FDF">
        <w:rPr>
          <w:sz w:val="18"/>
          <w:szCs w:val="18"/>
        </w:rPr>
        <w:t>doi</w:t>
      </w:r>
      <w:proofErr w:type="spellEnd"/>
      <w:r w:rsidRPr="001C2FDF">
        <w:rPr>
          <w:sz w:val="18"/>
          <w:szCs w:val="18"/>
        </w:rPr>
        <w:t>: 10.1186/s12889-016-3479-x.</w:t>
      </w:r>
    </w:p>
    <w:p w14:paraId="4F86E7B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5743A64" w14:textId="17A23359" w:rsidR="00AE3E37" w:rsidRPr="001C2FDF" w:rsidRDefault="00D62425">
      <w:pPr>
        <w:pStyle w:val="BodyText"/>
        <w:rPr>
          <w:rFonts w:ascii="Calibri"/>
          <w:sz w:val="20"/>
        </w:rPr>
      </w:pPr>
      <w:r>
        <w:rPr>
          <w:rFonts w:ascii="Calibri"/>
          <w:sz w:val="20"/>
        </w:rPr>
        <w:t xml:space="preserve"> </w:t>
      </w:r>
      <w:r w:rsidR="001C2FDF">
        <w:rPr>
          <w:rFonts w:ascii="Calibri"/>
          <w:sz w:val="20"/>
        </w:rPr>
        <w:t xml:space="preserve"> </w:t>
      </w:r>
      <w:r>
        <w:rPr>
          <w:rFonts w:ascii="Calibri"/>
          <w:sz w:val="20"/>
        </w:rPr>
        <w:t xml:space="preserve"> </w:t>
      </w:r>
      <w:r w:rsidRPr="00D62425">
        <w:rPr>
          <w:rFonts w:ascii="Calibri"/>
          <w:b/>
          <w:sz w:val="20"/>
        </w:rPr>
        <w:t>Photograph</w:t>
      </w:r>
    </w:p>
    <w:p w14:paraId="56F0C73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2E774F9" wp14:editId="147F5B3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41045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E16C432" w14:textId="6D37A129" w:rsidR="00AE3E37" w:rsidRDefault="008756E6" w:rsidP="00404E5B">
      <w:pPr>
        <w:spacing w:before="92"/>
        <w:ind w:right="4234"/>
        <w:rPr>
          <w:rFonts w:ascii="Arial"/>
        </w:rPr>
      </w:pPr>
      <w:r>
        <w:rPr>
          <w:noProof/>
        </w:rPr>
        <w:t xml:space="preserve">    </w:t>
      </w:r>
      <w:r w:rsidR="001C2FDF">
        <w:rPr>
          <w:noProof/>
        </w:rPr>
        <w:drawing>
          <wp:inline distT="0" distB="0" distL="0" distR="0" wp14:anchorId="5304D767" wp14:editId="7565DB96">
            <wp:extent cx="770956" cy="675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3139" cy="676916"/>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7A7195BE" w14:textId="36C98330"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1C2FDF">
        <w:rPr>
          <w:rFonts w:ascii="Arial"/>
          <w:sz w:val="14"/>
        </w:rPr>
        <w:t xml:space="preserve"> Ashekur Rahman Mullick</w:t>
      </w:r>
      <w:r w:rsidR="0078738A">
        <w:rPr>
          <w:rFonts w:ascii="Arial"/>
          <w:sz w:val="14"/>
        </w:rPr>
        <w:t xml:space="preserve"> </w:t>
      </w:r>
      <w:r>
        <w:rPr>
          <w:rFonts w:ascii="Arial"/>
          <w:sz w:val="14"/>
        </w:rPr>
        <w:t>has h</w:t>
      </w:r>
      <w:r w:rsidR="001C2FDF">
        <w:rPr>
          <w:rFonts w:ascii="Arial"/>
          <w:sz w:val="14"/>
        </w:rPr>
        <w:t>is</w:t>
      </w:r>
      <w:r>
        <w:rPr>
          <w:rFonts w:ascii="Arial"/>
          <w:sz w:val="14"/>
        </w:rPr>
        <w:t xml:space="preserve"> expertise in evaluation and passion in improving the health and wellbeing. H</w:t>
      </w:r>
      <w:r w:rsidR="001C2FDF">
        <w:rPr>
          <w:rFonts w:ascii="Arial"/>
          <w:sz w:val="14"/>
        </w:rPr>
        <w:t>is</w:t>
      </w:r>
      <w:r>
        <w:rPr>
          <w:rFonts w:ascii="Arial"/>
          <w:sz w:val="14"/>
        </w:rPr>
        <w:t xml:space="preserve">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1C2FDF">
        <w:rPr>
          <w:rFonts w:ascii="Arial"/>
          <w:sz w:val="14"/>
        </w:rPr>
        <w:t>H</w:t>
      </w:r>
      <w:r>
        <w:rPr>
          <w:rFonts w:ascii="Arial"/>
          <w:sz w:val="14"/>
        </w:rPr>
        <w:t>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 both in ho</w:t>
      </w:r>
      <w:r w:rsidR="001C2FDF">
        <w:rPr>
          <w:rFonts w:ascii="Arial"/>
          <w:sz w:val="14"/>
        </w:rPr>
        <w:t>usehold</w:t>
      </w:r>
      <w:r>
        <w:rPr>
          <w:rFonts w:ascii="Arial"/>
          <w:sz w:val="14"/>
        </w:rPr>
        <w:t xml:space="preserve"> and education institutions. </w:t>
      </w:r>
    </w:p>
    <w:p w14:paraId="728A834C" w14:textId="600E60D8" w:rsidR="00AE3E37" w:rsidRPr="001C2FDF" w:rsidRDefault="00A9710C">
      <w:pPr>
        <w:spacing w:before="62"/>
        <w:ind w:left="4217" w:right="4235"/>
        <w:jc w:val="center"/>
        <w:rPr>
          <w:rFonts w:ascii="Arial" w:hAnsi="Arial" w:cs="Arial"/>
          <w:sz w:val="14"/>
          <w:szCs w:val="14"/>
        </w:rPr>
      </w:pPr>
      <w:r w:rsidRPr="001C2FDF">
        <w:rPr>
          <w:rFonts w:ascii="Arial" w:hAnsi="Arial" w:cs="Arial"/>
          <w:sz w:val="14"/>
          <w:szCs w:val="14"/>
        </w:rPr>
        <w:t xml:space="preserve">Email: </w:t>
      </w:r>
      <w:r w:rsidR="001C2FDF" w:rsidRPr="001C2FDF">
        <w:rPr>
          <w:rFonts w:ascii="Arial" w:hAnsi="Arial" w:cs="Arial"/>
          <w:sz w:val="14"/>
          <w:szCs w:val="14"/>
        </w:rPr>
        <w:t>ashekmullick@gmail.com</w:t>
      </w:r>
    </w:p>
    <w:p w14:paraId="46DBDC6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1BF060A" wp14:editId="1857621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0A73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BA2C3D0" w14:textId="77777777" w:rsidR="00AE3E37" w:rsidRDefault="00AE3E37">
      <w:pPr>
        <w:pStyle w:val="BodyText"/>
        <w:rPr>
          <w:rFonts w:ascii="Arial"/>
          <w:sz w:val="20"/>
        </w:rPr>
      </w:pPr>
    </w:p>
    <w:p w14:paraId="2E3EFA73" w14:textId="77777777" w:rsidR="00AE3E37" w:rsidRDefault="00AE3E37">
      <w:pPr>
        <w:pStyle w:val="BodyText"/>
        <w:rPr>
          <w:rFonts w:ascii="Arial"/>
          <w:sz w:val="20"/>
        </w:rPr>
      </w:pPr>
    </w:p>
    <w:p w14:paraId="0106A2ED" w14:textId="6B9F08BE" w:rsidR="00AE3E37" w:rsidRPr="001C2FDF" w:rsidRDefault="00AE3E37" w:rsidP="001C2FDF">
      <w:pPr>
        <w:spacing w:before="39"/>
        <w:rPr>
          <w:rFonts w:ascii="Minion Pro"/>
          <w:b/>
          <w:sz w:val="20"/>
        </w:rPr>
        <w:sectPr w:rsidR="00AE3E37" w:rsidRPr="001C2FDF">
          <w:type w:val="continuous"/>
          <w:pgSz w:w="11910" w:h="16840"/>
          <w:pgMar w:top="1740" w:right="600" w:bottom="840" w:left="620" w:header="720" w:footer="720" w:gutter="0"/>
          <w:cols w:space="720"/>
        </w:sectPr>
      </w:pPr>
    </w:p>
    <w:p w14:paraId="76A50AC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8CB231" w14:textId="77777777" w:rsidR="00FB5FC6" w:rsidRDefault="00FB5FC6">
      <w:r>
        <w:separator/>
      </w:r>
    </w:p>
  </w:endnote>
  <w:endnote w:type="continuationSeparator" w:id="0">
    <w:p w14:paraId="2940B61E" w14:textId="77777777" w:rsidR="00FB5FC6" w:rsidRDefault="00FB5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D2593" w14:textId="446E375B"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78B9B4D" wp14:editId="534E7BB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4D40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3804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8B9B4D"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2EB4D40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3804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FA9C214" wp14:editId="1E874D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E442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79EA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9C214"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0AE442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79EA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FBC88" w14:textId="77777777" w:rsidR="00FB5FC6" w:rsidRDefault="00FB5FC6">
      <w:r>
        <w:separator/>
      </w:r>
    </w:p>
  </w:footnote>
  <w:footnote w:type="continuationSeparator" w:id="0">
    <w:p w14:paraId="258CB67D" w14:textId="77777777" w:rsidR="00FB5FC6" w:rsidRDefault="00FB5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FE115" w14:textId="42ACE26B"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C2F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9D11FC"/>
    <w:rsid w:val="00A07E82"/>
    <w:rsid w:val="00A9710C"/>
    <w:rsid w:val="00AE3E37"/>
    <w:rsid w:val="00B21A57"/>
    <w:rsid w:val="00C33602"/>
    <w:rsid w:val="00CD6F55"/>
    <w:rsid w:val="00D62425"/>
    <w:rsid w:val="00DE3104"/>
    <w:rsid w:val="00F72EEA"/>
    <w:rsid w:val="00F8136A"/>
    <w:rsid w:val="00F84CAE"/>
    <w:rsid w:val="00FB5F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4032E"/>
  <w15:docId w15:val="{4105E612-FCA3-4957-8850-7D15A50D1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Ashek Mullick</cp:lastModifiedBy>
  <cp:revision>5</cp:revision>
  <dcterms:created xsi:type="dcterms:W3CDTF">2016-08-31T13:10:00Z</dcterms:created>
  <dcterms:modified xsi:type="dcterms:W3CDTF">2019-12-20T15:02:00Z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