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8340A" w14:textId="7CBC2FA6" w:rsidR="00AE3E37" w:rsidRDefault="00F6764D" w:rsidP="00494130">
      <w:pPr>
        <w:pStyle w:val="Heading1"/>
        <w:spacing w:before="170"/>
        <w:ind w:left="0"/>
      </w:pPr>
      <w:r>
        <w:rPr>
          <w:color w:val="337AB7"/>
        </w:rPr>
        <w:t>Trust in Physician: Construction of a New Measure</w:t>
      </w:r>
    </w:p>
    <w:p w14:paraId="460141BE" w14:textId="6C2B0F7A" w:rsidR="00F6764D" w:rsidRDefault="00F6764D" w:rsidP="00F6764D">
      <w:pPr>
        <w:pStyle w:val="BodyText"/>
        <w:spacing w:before="73" w:line="198" w:lineRule="exact"/>
        <w:ind w:left="100" w:right="5987"/>
        <w:rPr>
          <w:rFonts w:ascii="Arial"/>
        </w:rPr>
      </w:pPr>
      <w:r>
        <w:rPr>
          <w:rFonts w:ascii="Arial"/>
        </w:rPr>
        <w:t>Ms. Erum Bibi, MPhil, NUML, Pakistan</w:t>
      </w:r>
      <w:r w:rsidR="005973B9">
        <w:rPr>
          <w:rFonts w:ascii="Arial"/>
        </w:rPr>
        <w:t>,</w:t>
      </w:r>
    </w:p>
    <w:p w14:paraId="7F24B9A4" w14:textId="77777777" w:rsidR="00AE3E37" w:rsidRDefault="00AE3E37">
      <w:pPr>
        <w:pStyle w:val="BodyText"/>
        <w:rPr>
          <w:rFonts w:ascii="Arial"/>
          <w:sz w:val="20"/>
        </w:rPr>
      </w:pPr>
    </w:p>
    <w:p w14:paraId="3EF2D286" w14:textId="77777777" w:rsidR="00AE3E37" w:rsidRDefault="00AE3E37">
      <w:pPr>
        <w:pStyle w:val="BodyText"/>
        <w:spacing w:before="3"/>
        <w:rPr>
          <w:rFonts w:ascii="Arial"/>
          <w:sz w:val="21"/>
        </w:rPr>
      </w:pPr>
    </w:p>
    <w:p w14:paraId="0483219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5AC7F90"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5A68BC2" w14:textId="20705CBA" w:rsidR="00AE3E37" w:rsidRDefault="00814D9E" w:rsidP="00814D9E">
      <w:pPr>
        <w:pStyle w:val="BodyText"/>
        <w:spacing w:before="90" w:line="280" w:lineRule="auto"/>
        <w:ind w:left="100"/>
        <w:jc w:val="both"/>
      </w:pPr>
      <w:r>
        <w:t>Trust in the Physician is a significant paradigm as it influences the dynamics of the therapist-patient relationship. Maintaining an ongoing trustworthy relationship between a patient and a therapist in a lifelong chronic illness is difficult to cater</w:t>
      </w:r>
      <w:r>
        <w:t xml:space="preserve">. </w:t>
      </w:r>
      <w:r>
        <w:t xml:space="preserve">Several tools have been developed for the measurement of patient’s trust in health care. Some of these tools measure trust in physicians, some in the health system as a whole and some in health insurers. All these tools have been developed in Western countries and reported to have good psychometric properties. Amongst the most frequently defined dimensions of physician-patient trust </w:t>
      </w:r>
      <w:proofErr w:type="spellStart"/>
      <w:r>
        <w:t>behaviour</w:t>
      </w:r>
      <w:proofErr w:type="spellEnd"/>
      <w:r>
        <w:t xml:space="preserve"> are competence, benevolence, and integrity but these three have got less attention in the previous scales with reference to assessing chronic illness. Therefore, the purpose of </w:t>
      </w:r>
      <w:r>
        <w:t xml:space="preserve">constructing the current scale is to investigate the level of patient trust in physicians in three dimensions in </w:t>
      </w:r>
      <w:r>
        <w:t>Pakistan.</w:t>
      </w:r>
      <w:r>
        <w:t xml:space="preserve"> Based on </w:t>
      </w:r>
      <w:proofErr w:type="spellStart"/>
      <w:r>
        <w:t>Brislin's</w:t>
      </w:r>
      <w:proofErr w:type="spellEnd"/>
      <w:r>
        <w:t xml:space="preserve"> translation method, a 12-item scale comprising 4 items for each dimension to assess patient’s trust in physician was developed, validated, and translated into Urdu</w:t>
      </w:r>
      <w:r>
        <w:t>. The study was conducted in two private tertiary hospital settings in Pakistan by a cross-sectional survey design. Initially, 50 participants suffering from schizophrenia were recruited for the pilot study and a further 163 patients participated in the main study. Descriptive statistics, inter-item correlation, and Cronbach's alpha statistics were used to assess the validity and reliability of the scale. Initially, the pilot study on 50 participants showed Cronbach’s Alpha reliability of 0.81 which makes this tool a highly reliable test for measuring trust in the physician. The overall relatability by computing data of 163 participants showed a value of 0.86. The item-total correlations of the Trust in Physician scale range from .53 to .66. This indicates that this scale is internally consistent and all 12- items are correlated with the total scale and have their due contribution to the measurement of trust in the physician scale. The highly significant correlations point out that the measurement has a valid construction, and all items evaluate one construct.</w:t>
      </w:r>
    </w:p>
    <w:p w14:paraId="514C6027" w14:textId="4C8AF7D3" w:rsidR="00AE3E37" w:rsidRDefault="00A9710C">
      <w:pPr>
        <w:pStyle w:val="Heading3"/>
        <w:spacing w:before="74"/>
      </w:pPr>
      <w:r>
        <w:rPr>
          <w:b w:val="0"/>
        </w:rPr>
        <w:br w:type="column"/>
      </w:r>
    </w:p>
    <w:tbl>
      <w:tblPr>
        <w:tblStyle w:val="TableSimple1"/>
        <w:tblW w:w="5000" w:type="pct"/>
        <w:tblLook w:val="00A0" w:firstRow="1" w:lastRow="0" w:firstColumn="1" w:lastColumn="0" w:noHBand="0" w:noVBand="0"/>
      </w:tblPr>
      <w:tblGrid>
        <w:gridCol w:w="1315"/>
        <w:gridCol w:w="1415"/>
        <w:gridCol w:w="1286"/>
        <w:gridCol w:w="1185"/>
      </w:tblGrid>
      <w:tr w:rsidR="00133A7B" w:rsidRPr="00814D9E" w14:paraId="682142F1" w14:textId="77777777" w:rsidTr="00133A7B">
        <w:trPr>
          <w:cnfStyle w:val="100000000000" w:firstRow="1" w:lastRow="0" w:firstColumn="0" w:lastColumn="0" w:oddVBand="0" w:evenVBand="0" w:oddHBand="0" w:evenHBand="0" w:firstRowFirstColumn="0" w:firstRowLastColumn="0" w:lastRowFirstColumn="0" w:lastRowLastColumn="0"/>
          <w:trHeight w:val="289"/>
        </w:trPr>
        <w:tc>
          <w:tcPr>
            <w:tcW w:w="1264" w:type="pct"/>
            <w:tcBorders>
              <w:top w:val="single" w:sz="12" w:space="0" w:color="008000"/>
              <w:bottom w:val="single" w:sz="4" w:space="0" w:color="auto"/>
            </w:tcBorders>
          </w:tcPr>
          <w:p w14:paraId="45214B8B" w14:textId="77777777" w:rsidR="00814D9E" w:rsidRPr="00814D9E" w:rsidRDefault="00814D9E" w:rsidP="00814D9E">
            <w:pPr>
              <w:pStyle w:val="BodyText"/>
              <w:spacing w:before="2"/>
              <w:rPr>
                <w:rFonts w:ascii="Arial"/>
                <w:b/>
                <w:i/>
                <w:iCs/>
                <w:sz w:val="16"/>
              </w:rPr>
            </w:pPr>
            <w:bookmarkStart w:id="0" w:name="_Hlk55655784"/>
            <w:r w:rsidRPr="00814D9E">
              <w:rPr>
                <w:rFonts w:ascii="Arial"/>
                <w:b/>
                <w:i/>
                <w:iCs/>
                <w:sz w:val="16"/>
              </w:rPr>
              <w:t>Item No.</w:t>
            </w:r>
          </w:p>
        </w:tc>
        <w:tc>
          <w:tcPr>
            <w:tcW w:w="1360" w:type="pct"/>
            <w:tcBorders>
              <w:top w:val="single" w:sz="12" w:space="0" w:color="008000"/>
              <w:bottom w:val="single" w:sz="4" w:space="0" w:color="auto"/>
            </w:tcBorders>
          </w:tcPr>
          <w:p w14:paraId="295BEF0F" w14:textId="77777777" w:rsidR="00814D9E" w:rsidRPr="00814D9E" w:rsidRDefault="00814D9E" w:rsidP="00814D9E">
            <w:pPr>
              <w:pStyle w:val="BodyText"/>
              <w:spacing w:before="2"/>
              <w:rPr>
                <w:rFonts w:ascii="Arial"/>
                <w:b/>
                <w:i/>
                <w:iCs/>
                <w:sz w:val="16"/>
              </w:rPr>
            </w:pPr>
            <w:r w:rsidRPr="00814D9E">
              <w:rPr>
                <w:rFonts w:ascii="Arial"/>
                <w:b/>
                <w:i/>
                <w:iCs/>
                <w:sz w:val="16"/>
              </w:rPr>
              <w:t>R</w:t>
            </w:r>
          </w:p>
        </w:tc>
        <w:tc>
          <w:tcPr>
            <w:tcW w:w="1236" w:type="pct"/>
            <w:tcBorders>
              <w:top w:val="single" w:sz="12" w:space="0" w:color="008000"/>
              <w:bottom w:val="single" w:sz="4" w:space="0" w:color="auto"/>
            </w:tcBorders>
          </w:tcPr>
          <w:p w14:paraId="46EEEAF0" w14:textId="77777777" w:rsidR="00814D9E" w:rsidRPr="00814D9E" w:rsidRDefault="00814D9E" w:rsidP="00814D9E">
            <w:pPr>
              <w:pStyle w:val="BodyText"/>
              <w:spacing w:before="2"/>
              <w:rPr>
                <w:rFonts w:ascii="Arial"/>
                <w:b/>
                <w:i/>
                <w:iCs/>
                <w:sz w:val="16"/>
              </w:rPr>
            </w:pPr>
            <w:r w:rsidRPr="00814D9E">
              <w:rPr>
                <w:rFonts w:ascii="Arial"/>
                <w:b/>
                <w:i/>
                <w:iCs/>
                <w:sz w:val="16"/>
              </w:rPr>
              <w:t>Item No.</w:t>
            </w:r>
          </w:p>
        </w:tc>
        <w:tc>
          <w:tcPr>
            <w:tcW w:w="1139" w:type="pct"/>
            <w:tcBorders>
              <w:top w:val="single" w:sz="12" w:space="0" w:color="008000"/>
              <w:bottom w:val="single" w:sz="4" w:space="0" w:color="auto"/>
            </w:tcBorders>
          </w:tcPr>
          <w:p w14:paraId="56B7E6E2" w14:textId="77777777" w:rsidR="00814D9E" w:rsidRPr="00814D9E" w:rsidRDefault="00814D9E" w:rsidP="00814D9E">
            <w:pPr>
              <w:pStyle w:val="BodyText"/>
              <w:spacing w:before="2"/>
              <w:rPr>
                <w:rFonts w:ascii="Arial"/>
                <w:b/>
                <w:i/>
                <w:iCs/>
                <w:sz w:val="16"/>
              </w:rPr>
            </w:pPr>
            <w:r w:rsidRPr="00814D9E">
              <w:rPr>
                <w:rFonts w:ascii="Arial"/>
                <w:b/>
                <w:i/>
                <w:iCs/>
                <w:sz w:val="16"/>
              </w:rPr>
              <w:t>R</w:t>
            </w:r>
          </w:p>
        </w:tc>
      </w:tr>
      <w:bookmarkEnd w:id="0"/>
      <w:tr w:rsidR="00133A7B" w:rsidRPr="00814D9E" w14:paraId="1E5A3CDD" w14:textId="77777777" w:rsidTr="00133A7B">
        <w:trPr>
          <w:trHeight w:val="264"/>
        </w:trPr>
        <w:tc>
          <w:tcPr>
            <w:tcW w:w="1264" w:type="pct"/>
            <w:tcBorders>
              <w:top w:val="single" w:sz="4" w:space="0" w:color="auto"/>
            </w:tcBorders>
          </w:tcPr>
          <w:p w14:paraId="5F120565" w14:textId="77777777" w:rsidR="00814D9E" w:rsidRPr="00814D9E" w:rsidRDefault="00814D9E" w:rsidP="00814D9E">
            <w:pPr>
              <w:pStyle w:val="BodyText"/>
              <w:spacing w:before="2"/>
              <w:rPr>
                <w:rFonts w:ascii="Arial"/>
                <w:b/>
                <w:i/>
                <w:iCs/>
                <w:sz w:val="16"/>
              </w:rPr>
            </w:pPr>
            <w:r w:rsidRPr="00814D9E">
              <w:rPr>
                <w:rFonts w:ascii="Arial"/>
                <w:b/>
                <w:i/>
                <w:iCs/>
                <w:sz w:val="16"/>
              </w:rPr>
              <w:t>1.</w:t>
            </w:r>
          </w:p>
        </w:tc>
        <w:tc>
          <w:tcPr>
            <w:tcW w:w="1360" w:type="pct"/>
            <w:tcBorders>
              <w:top w:val="single" w:sz="4" w:space="0" w:color="auto"/>
            </w:tcBorders>
            <w:vAlign w:val="center"/>
          </w:tcPr>
          <w:p w14:paraId="5165D878" w14:textId="77777777" w:rsidR="00814D9E" w:rsidRPr="00814D9E" w:rsidRDefault="00814D9E" w:rsidP="00814D9E">
            <w:pPr>
              <w:pStyle w:val="BodyText"/>
              <w:spacing w:before="2"/>
              <w:rPr>
                <w:rFonts w:ascii="Arial"/>
                <w:b/>
                <w:i/>
                <w:iCs/>
                <w:sz w:val="16"/>
              </w:rPr>
            </w:pPr>
            <w:r w:rsidRPr="00814D9E">
              <w:rPr>
                <w:rFonts w:ascii="Arial"/>
                <w:b/>
                <w:i/>
                <w:iCs/>
                <w:sz w:val="16"/>
              </w:rPr>
              <w:t>.56**</w:t>
            </w:r>
          </w:p>
        </w:tc>
        <w:tc>
          <w:tcPr>
            <w:tcW w:w="1236" w:type="pct"/>
            <w:tcBorders>
              <w:top w:val="single" w:sz="4" w:space="0" w:color="auto"/>
            </w:tcBorders>
            <w:vAlign w:val="center"/>
          </w:tcPr>
          <w:p w14:paraId="4B2E5932" w14:textId="77777777" w:rsidR="00814D9E" w:rsidRPr="00814D9E" w:rsidRDefault="00814D9E" w:rsidP="00814D9E">
            <w:pPr>
              <w:pStyle w:val="BodyText"/>
              <w:spacing w:before="2"/>
              <w:rPr>
                <w:rFonts w:ascii="Arial"/>
                <w:b/>
                <w:i/>
                <w:iCs/>
                <w:sz w:val="16"/>
              </w:rPr>
            </w:pPr>
            <w:r w:rsidRPr="00814D9E">
              <w:rPr>
                <w:rFonts w:ascii="Arial"/>
                <w:b/>
                <w:i/>
                <w:iCs/>
                <w:sz w:val="16"/>
              </w:rPr>
              <w:t>7.</w:t>
            </w:r>
          </w:p>
        </w:tc>
        <w:tc>
          <w:tcPr>
            <w:tcW w:w="1139" w:type="pct"/>
            <w:tcBorders>
              <w:top w:val="single" w:sz="4" w:space="0" w:color="auto"/>
            </w:tcBorders>
            <w:vAlign w:val="center"/>
          </w:tcPr>
          <w:p w14:paraId="4C20B8B1" w14:textId="77777777" w:rsidR="00814D9E" w:rsidRPr="00814D9E" w:rsidRDefault="00814D9E" w:rsidP="00814D9E">
            <w:pPr>
              <w:pStyle w:val="BodyText"/>
              <w:spacing w:before="2"/>
              <w:rPr>
                <w:rFonts w:ascii="Arial"/>
                <w:b/>
                <w:i/>
                <w:iCs/>
                <w:sz w:val="16"/>
              </w:rPr>
            </w:pPr>
            <w:r w:rsidRPr="00814D9E">
              <w:rPr>
                <w:rFonts w:ascii="Arial"/>
                <w:b/>
                <w:i/>
                <w:iCs/>
                <w:sz w:val="16"/>
              </w:rPr>
              <w:t>.63**</w:t>
            </w:r>
          </w:p>
        </w:tc>
      </w:tr>
      <w:tr w:rsidR="00133A7B" w:rsidRPr="00814D9E" w14:paraId="55BEE3D3" w14:textId="77777777" w:rsidTr="00133A7B">
        <w:trPr>
          <w:trHeight w:val="304"/>
        </w:trPr>
        <w:tc>
          <w:tcPr>
            <w:tcW w:w="1264" w:type="pct"/>
          </w:tcPr>
          <w:p w14:paraId="06DDA69B" w14:textId="77777777" w:rsidR="00814D9E" w:rsidRPr="00814D9E" w:rsidRDefault="00814D9E" w:rsidP="00814D9E">
            <w:pPr>
              <w:pStyle w:val="BodyText"/>
              <w:spacing w:before="2"/>
              <w:rPr>
                <w:rFonts w:ascii="Arial"/>
                <w:b/>
                <w:i/>
                <w:iCs/>
                <w:sz w:val="16"/>
              </w:rPr>
            </w:pPr>
            <w:r w:rsidRPr="00814D9E">
              <w:rPr>
                <w:rFonts w:ascii="Arial"/>
                <w:b/>
                <w:i/>
                <w:iCs/>
                <w:sz w:val="16"/>
              </w:rPr>
              <w:t>2.</w:t>
            </w:r>
          </w:p>
        </w:tc>
        <w:tc>
          <w:tcPr>
            <w:tcW w:w="1360" w:type="pct"/>
            <w:vAlign w:val="center"/>
          </w:tcPr>
          <w:p w14:paraId="004D4441" w14:textId="77777777" w:rsidR="00814D9E" w:rsidRPr="00814D9E" w:rsidRDefault="00814D9E" w:rsidP="00814D9E">
            <w:pPr>
              <w:pStyle w:val="BodyText"/>
              <w:spacing w:before="2"/>
              <w:rPr>
                <w:rFonts w:ascii="Arial"/>
                <w:b/>
                <w:i/>
                <w:iCs/>
                <w:sz w:val="16"/>
              </w:rPr>
            </w:pPr>
            <w:r w:rsidRPr="00814D9E">
              <w:rPr>
                <w:rFonts w:ascii="Arial"/>
                <w:b/>
                <w:i/>
                <w:iCs/>
                <w:sz w:val="16"/>
              </w:rPr>
              <w:t>.57**</w:t>
            </w:r>
          </w:p>
        </w:tc>
        <w:tc>
          <w:tcPr>
            <w:tcW w:w="1236" w:type="pct"/>
            <w:vAlign w:val="center"/>
          </w:tcPr>
          <w:p w14:paraId="2F403114" w14:textId="77777777" w:rsidR="00814D9E" w:rsidRPr="00814D9E" w:rsidRDefault="00814D9E" w:rsidP="00814D9E">
            <w:pPr>
              <w:pStyle w:val="BodyText"/>
              <w:spacing w:before="2"/>
              <w:rPr>
                <w:rFonts w:ascii="Arial"/>
                <w:b/>
                <w:i/>
                <w:iCs/>
                <w:sz w:val="16"/>
              </w:rPr>
            </w:pPr>
            <w:r w:rsidRPr="00814D9E">
              <w:rPr>
                <w:rFonts w:ascii="Arial"/>
                <w:b/>
                <w:i/>
                <w:iCs/>
                <w:sz w:val="16"/>
              </w:rPr>
              <w:t>8.</w:t>
            </w:r>
          </w:p>
        </w:tc>
        <w:tc>
          <w:tcPr>
            <w:tcW w:w="1139" w:type="pct"/>
            <w:vAlign w:val="center"/>
          </w:tcPr>
          <w:p w14:paraId="4CA7A056" w14:textId="77777777" w:rsidR="00814D9E" w:rsidRPr="00814D9E" w:rsidRDefault="00814D9E" w:rsidP="00814D9E">
            <w:pPr>
              <w:pStyle w:val="BodyText"/>
              <w:spacing w:before="2"/>
              <w:rPr>
                <w:rFonts w:ascii="Arial"/>
                <w:b/>
                <w:i/>
                <w:iCs/>
                <w:sz w:val="16"/>
              </w:rPr>
            </w:pPr>
            <w:r w:rsidRPr="00814D9E">
              <w:rPr>
                <w:rFonts w:ascii="Arial"/>
                <w:b/>
                <w:i/>
                <w:iCs/>
                <w:sz w:val="16"/>
              </w:rPr>
              <w:t>.45**</w:t>
            </w:r>
          </w:p>
        </w:tc>
      </w:tr>
      <w:tr w:rsidR="00133A7B" w:rsidRPr="00814D9E" w14:paraId="76A39319" w14:textId="77777777" w:rsidTr="00133A7B">
        <w:trPr>
          <w:trHeight w:val="448"/>
        </w:trPr>
        <w:tc>
          <w:tcPr>
            <w:tcW w:w="1264" w:type="pct"/>
          </w:tcPr>
          <w:p w14:paraId="1736F4AA" w14:textId="77777777" w:rsidR="00814D9E" w:rsidRPr="00814D9E" w:rsidRDefault="00814D9E" w:rsidP="00814D9E">
            <w:pPr>
              <w:pStyle w:val="BodyText"/>
              <w:spacing w:before="2"/>
              <w:rPr>
                <w:rFonts w:ascii="Arial"/>
                <w:b/>
                <w:i/>
                <w:iCs/>
                <w:sz w:val="16"/>
              </w:rPr>
            </w:pPr>
            <w:r w:rsidRPr="00814D9E">
              <w:rPr>
                <w:rFonts w:ascii="Arial"/>
                <w:b/>
                <w:i/>
                <w:iCs/>
                <w:sz w:val="16"/>
              </w:rPr>
              <w:t>3.</w:t>
            </w:r>
          </w:p>
        </w:tc>
        <w:tc>
          <w:tcPr>
            <w:tcW w:w="1360" w:type="pct"/>
            <w:vAlign w:val="center"/>
          </w:tcPr>
          <w:p w14:paraId="3254DD86" w14:textId="77777777" w:rsidR="00814D9E" w:rsidRPr="00814D9E" w:rsidRDefault="00814D9E" w:rsidP="00814D9E">
            <w:pPr>
              <w:pStyle w:val="BodyText"/>
              <w:spacing w:before="2"/>
              <w:rPr>
                <w:rFonts w:ascii="Arial"/>
                <w:b/>
                <w:i/>
                <w:iCs/>
                <w:sz w:val="16"/>
              </w:rPr>
            </w:pPr>
            <w:r w:rsidRPr="00814D9E">
              <w:rPr>
                <w:rFonts w:ascii="Arial"/>
                <w:b/>
                <w:i/>
                <w:iCs/>
                <w:sz w:val="16"/>
              </w:rPr>
              <w:t>.66**</w:t>
            </w:r>
          </w:p>
        </w:tc>
        <w:tc>
          <w:tcPr>
            <w:tcW w:w="1236" w:type="pct"/>
            <w:vAlign w:val="center"/>
          </w:tcPr>
          <w:p w14:paraId="7CC32742" w14:textId="77777777" w:rsidR="00814D9E" w:rsidRPr="00814D9E" w:rsidRDefault="00814D9E" w:rsidP="00814D9E">
            <w:pPr>
              <w:pStyle w:val="BodyText"/>
              <w:spacing w:before="2"/>
              <w:rPr>
                <w:rFonts w:ascii="Arial"/>
                <w:b/>
                <w:i/>
                <w:iCs/>
                <w:sz w:val="16"/>
              </w:rPr>
            </w:pPr>
            <w:r w:rsidRPr="00814D9E">
              <w:rPr>
                <w:rFonts w:ascii="Arial"/>
                <w:b/>
                <w:i/>
                <w:iCs/>
                <w:sz w:val="16"/>
              </w:rPr>
              <w:t>9.</w:t>
            </w:r>
          </w:p>
        </w:tc>
        <w:tc>
          <w:tcPr>
            <w:tcW w:w="1139" w:type="pct"/>
            <w:vAlign w:val="center"/>
          </w:tcPr>
          <w:p w14:paraId="65C5F70D" w14:textId="77777777" w:rsidR="00814D9E" w:rsidRPr="00814D9E" w:rsidRDefault="00814D9E" w:rsidP="00814D9E">
            <w:pPr>
              <w:pStyle w:val="BodyText"/>
              <w:spacing w:before="2"/>
              <w:rPr>
                <w:rFonts w:ascii="Arial"/>
                <w:b/>
                <w:i/>
                <w:iCs/>
                <w:sz w:val="16"/>
              </w:rPr>
            </w:pPr>
            <w:r w:rsidRPr="00814D9E">
              <w:rPr>
                <w:rFonts w:ascii="Arial"/>
                <w:b/>
                <w:i/>
                <w:iCs/>
                <w:sz w:val="16"/>
              </w:rPr>
              <w:t>.55**</w:t>
            </w:r>
          </w:p>
        </w:tc>
      </w:tr>
      <w:tr w:rsidR="00133A7B" w:rsidRPr="00814D9E" w14:paraId="79F8F5CD" w14:textId="77777777" w:rsidTr="00133A7B">
        <w:trPr>
          <w:trHeight w:val="448"/>
        </w:trPr>
        <w:tc>
          <w:tcPr>
            <w:tcW w:w="1264" w:type="pct"/>
          </w:tcPr>
          <w:p w14:paraId="7C4F1D11" w14:textId="77777777" w:rsidR="00814D9E" w:rsidRPr="00814D9E" w:rsidRDefault="00814D9E" w:rsidP="00814D9E">
            <w:pPr>
              <w:pStyle w:val="BodyText"/>
              <w:spacing w:before="2"/>
              <w:rPr>
                <w:rFonts w:ascii="Arial"/>
                <w:b/>
                <w:i/>
                <w:iCs/>
                <w:sz w:val="16"/>
              </w:rPr>
            </w:pPr>
            <w:r w:rsidRPr="00814D9E">
              <w:rPr>
                <w:rFonts w:ascii="Arial"/>
                <w:b/>
                <w:i/>
                <w:iCs/>
                <w:sz w:val="16"/>
              </w:rPr>
              <w:t>4.</w:t>
            </w:r>
          </w:p>
        </w:tc>
        <w:tc>
          <w:tcPr>
            <w:tcW w:w="1360" w:type="pct"/>
            <w:vAlign w:val="center"/>
          </w:tcPr>
          <w:p w14:paraId="021B001A" w14:textId="77777777" w:rsidR="00814D9E" w:rsidRPr="00814D9E" w:rsidRDefault="00814D9E" w:rsidP="00814D9E">
            <w:pPr>
              <w:pStyle w:val="BodyText"/>
              <w:spacing w:before="2"/>
              <w:rPr>
                <w:rFonts w:ascii="Arial"/>
                <w:b/>
                <w:i/>
                <w:iCs/>
                <w:sz w:val="16"/>
              </w:rPr>
            </w:pPr>
            <w:r w:rsidRPr="00814D9E">
              <w:rPr>
                <w:rFonts w:ascii="Arial"/>
                <w:b/>
                <w:i/>
                <w:iCs/>
                <w:sz w:val="16"/>
              </w:rPr>
              <w:t>.54**</w:t>
            </w:r>
          </w:p>
        </w:tc>
        <w:tc>
          <w:tcPr>
            <w:tcW w:w="1236" w:type="pct"/>
            <w:vAlign w:val="center"/>
          </w:tcPr>
          <w:p w14:paraId="60DFA0B6" w14:textId="77777777" w:rsidR="00814D9E" w:rsidRPr="00814D9E" w:rsidRDefault="00814D9E" w:rsidP="00814D9E">
            <w:pPr>
              <w:pStyle w:val="BodyText"/>
              <w:spacing w:before="2"/>
              <w:rPr>
                <w:rFonts w:ascii="Arial"/>
                <w:b/>
                <w:i/>
                <w:iCs/>
                <w:sz w:val="16"/>
              </w:rPr>
            </w:pPr>
            <w:r w:rsidRPr="00814D9E">
              <w:rPr>
                <w:rFonts w:ascii="Arial"/>
                <w:b/>
                <w:i/>
                <w:iCs/>
                <w:sz w:val="16"/>
              </w:rPr>
              <w:t>10.</w:t>
            </w:r>
          </w:p>
        </w:tc>
        <w:tc>
          <w:tcPr>
            <w:tcW w:w="1139" w:type="pct"/>
            <w:vAlign w:val="center"/>
          </w:tcPr>
          <w:p w14:paraId="7E2559F5" w14:textId="77777777" w:rsidR="00814D9E" w:rsidRPr="00814D9E" w:rsidRDefault="00814D9E" w:rsidP="00814D9E">
            <w:pPr>
              <w:pStyle w:val="BodyText"/>
              <w:spacing w:before="2"/>
              <w:rPr>
                <w:rFonts w:ascii="Arial"/>
                <w:b/>
                <w:i/>
                <w:iCs/>
                <w:sz w:val="16"/>
              </w:rPr>
            </w:pPr>
            <w:r w:rsidRPr="00814D9E">
              <w:rPr>
                <w:rFonts w:ascii="Arial"/>
                <w:b/>
                <w:i/>
                <w:iCs/>
                <w:sz w:val="16"/>
              </w:rPr>
              <w:t>.53**</w:t>
            </w:r>
          </w:p>
        </w:tc>
      </w:tr>
      <w:tr w:rsidR="00133A7B" w:rsidRPr="00814D9E" w14:paraId="62C55952" w14:textId="77777777" w:rsidTr="00133A7B">
        <w:trPr>
          <w:trHeight w:val="448"/>
        </w:trPr>
        <w:tc>
          <w:tcPr>
            <w:tcW w:w="1264" w:type="pct"/>
          </w:tcPr>
          <w:p w14:paraId="5EFAA598" w14:textId="77777777" w:rsidR="00814D9E" w:rsidRPr="00814D9E" w:rsidRDefault="00814D9E" w:rsidP="00814D9E">
            <w:pPr>
              <w:pStyle w:val="BodyText"/>
              <w:spacing w:before="2"/>
              <w:rPr>
                <w:rFonts w:ascii="Arial"/>
                <w:b/>
                <w:i/>
                <w:iCs/>
                <w:sz w:val="16"/>
              </w:rPr>
            </w:pPr>
            <w:r w:rsidRPr="00814D9E">
              <w:rPr>
                <w:rFonts w:ascii="Arial"/>
                <w:b/>
                <w:i/>
                <w:iCs/>
                <w:sz w:val="16"/>
              </w:rPr>
              <w:t>5.</w:t>
            </w:r>
          </w:p>
        </w:tc>
        <w:tc>
          <w:tcPr>
            <w:tcW w:w="1360" w:type="pct"/>
            <w:vAlign w:val="center"/>
          </w:tcPr>
          <w:p w14:paraId="50AF9641" w14:textId="77777777" w:rsidR="00814D9E" w:rsidRPr="00814D9E" w:rsidRDefault="00814D9E" w:rsidP="00814D9E">
            <w:pPr>
              <w:pStyle w:val="BodyText"/>
              <w:spacing w:before="2"/>
              <w:rPr>
                <w:rFonts w:ascii="Arial"/>
                <w:b/>
                <w:i/>
                <w:iCs/>
                <w:sz w:val="16"/>
              </w:rPr>
            </w:pPr>
            <w:r w:rsidRPr="00814D9E">
              <w:rPr>
                <w:rFonts w:ascii="Arial"/>
                <w:b/>
                <w:i/>
                <w:iCs/>
                <w:sz w:val="16"/>
              </w:rPr>
              <w:t>.60**</w:t>
            </w:r>
          </w:p>
        </w:tc>
        <w:tc>
          <w:tcPr>
            <w:tcW w:w="1236" w:type="pct"/>
            <w:vAlign w:val="center"/>
          </w:tcPr>
          <w:p w14:paraId="7B2413E0" w14:textId="77777777" w:rsidR="00814D9E" w:rsidRPr="00814D9E" w:rsidRDefault="00814D9E" w:rsidP="00814D9E">
            <w:pPr>
              <w:pStyle w:val="BodyText"/>
              <w:spacing w:before="2"/>
              <w:rPr>
                <w:rFonts w:ascii="Arial"/>
                <w:b/>
                <w:i/>
                <w:iCs/>
                <w:sz w:val="16"/>
              </w:rPr>
            </w:pPr>
            <w:r w:rsidRPr="00814D9E">
              <w:rPr>
                <w:rFonts w:ascii="Arial"/>
                <w:b/>
                <w:i/>
                <w:iCs/>
                <w:sz w:val="16"/>
              </w:rPr>
              <w:t>11.</w:t>
            </w:r>
          </w:p>
        </w:tc>
        <w:tc>
          <w:tcPr>
            <w:tcW w:w="1139" w:type="pct"/>
            <w:vAlign w:val="center"/>
          </w:tcPr>
          <w:p w14:paraId="321B7788" w14:textId="77777777" w:rsidR="00814D9E" w:rsidRPr="00814D9E" w:rsidRDefault="00814D9E" w:rsidP="00814D9E">
            <w:pPr>
              <w:pStyle w:val="BodyText"/>
              <w:spacing w:before="2"/>
              <w:rPr>
                <w:rFonts w:ascii="Arial"/>
                <w:b/>
                <w:i/>
                <w:iCs/>
                <w:sz w:val="16"/>
              </w:rPr>
            </w:pPr>
            <w:r w:rsidRPr="00814D9E">
              <w:rPr>
                <w:rFonts w:ascii="Arial"/>
                <w:b/>
                <w:i/>
                <w:iCs/>
                <w:sz w:val="16"/>
              </w:rPr>
              <w:t>.61**</w:t>
            </w:r>
          </w:p>
        </w:tc>
      </w:tr>
      <w:tr w:rsidR="00133A7B" w:rsidRPr="00814D9E" w14:paraId="04A1CF86" w14:textId="77777777" w:rsidTr="00133A7B">
        <w:trPr>
          <w:trHeight w:val="270"/>
        </w:trPr>
        <w:tc>
          <w:tcPr>
            <w:tcW w:w="1264" w:type="pct"/>
          </w:tcPr>
          <w:p w14:paraId="4800927A" w14:textId="77777777" w:rsidR="00814D9E" w:rsidRPr="00814D9E" w:rsidRDefault="00814D9E" w:rsidP="00814D9E">
            <w:pPr>
              <w:pStyle w:val="BodyText"/>
              <w:spacing w:before="2"/>
              <w:rPr>
                <w:rFonts w:ascii="Arial"/>
                <w:b/>
                <w:i/>
                <w:iCs/>
                <w:sz w:val="16"/>
              </w:rPr>
            </w:pPr>
            <w:r w:rsidRPr="00814D9E">
              <w:rPr>
                <w:rFonts w:ascii="Arial"/>
                <w:b/>
                <w:i/>
                <w:iCs/>
                <w:sz w:val="16"/>
              </w:rPr>
              <w:t>6.</w:t>
            </w:r>
          </w:p>
        </w:tc>
        <w:tc>
          <w:tcPr>
            <w:tcW w:w="1360" w:type="pct"/>
            <w:vAlign w:val="center"/>
          </w:tcPr>
          <w:p w14:paraId="59003D8B" w14:textId="77777777" w:rsidR="00814D9E" w:rsidRPr="00814D9E" w:rsidRDefault="00814D9E" w:rsidP="00814D9E">
            <w:pPr>
              <w:pStyle w:val="BodyText"/>
              <w:spacing w:before="2"/>
              <w:rPr>
                <w:rFonts w:ascii="Arial"/>
                <w:b/>
                <w:i/>
                <w:iCs/>
                <w:sz w:val="16"/>
              </w:rPr>
            </w:pPr>
            <w:r w:rsidRPr="00814D9E">
              <w:rPr>
                <w:rFonts w:ascii="Arial"/>
                <w:b/>
                <w:i/>
                <w:iCs/>
                <w:sz w:val="16"/>
              </w:rPr>
              <w:t>.54**</w:t>
            </w:r>
          </w:p>
        </w:tc>
        <w:tc>
          <w:tcPr>
            <w:tcW w:w="1236" w:type="pct"/>
            <w:vAlign w:val="center"/>
          </w:tcPr>
          <w:p w14:paraId="7945D48F" w14:textId="77777777" w:rsidR="00814D9E" w:rsidRPr="00814D9E" w:rsidRDefault="00814D9E" w:rsidP="00814D9E">
            <w:pPr>
              <w:pStyle w:val="BodyText"/>
              <w:spacing w:before="2"/>
              <w:rPr>
                <w:rFonts w:ascii="Arial"/>
                <w:b/>
                <w:i/>
                <w:iCs/>
                <w:sz w:val="16"/>
              </w:rPr>
            </w:pPr>
            <w:r w:rsidRPr="00814D9E">
              <w:rPr>
                <w:rFonts w:ascii="Arial"/>
                <w:b/>
                <w:i/>
                <w:iCs/>
                <w:sz w:val="16"/>
              </w:rPr>
              <w:t>12.</w:t>
            </w:r>
          </w:p>
        </w:tc>
        <w:tc>
          <w:tcPr>
            <w:tcW w:w="1139" w:type="pct"/>
            <w:vAlign w:val="center"/>
          </w:tcPr>
          <w:p w14:paraId="06F874B4" w14:textId="77777777" w:rsidR="00814D9E" w:rsidRPr="00814D9E" w:rsidRDefault="00814D9E" w:rsidP="00814D9E">
            <w:pPr>
              <w:pStyle w:val="BodyText"/>
              <w:spacing w:before="2"/>
              <w:rPr>
                <w:rFonts w:ascii="Arial"/>
                <w:b/>
                <w:i/>
                <w:iCs/>
                <w:sz w:val="16"/>
              </w:rPr>
            </w:pPr>
            <w:r w:rsidRPr="00814D9E">
              <w:rPr>
                <w:rFonts w:ascii="Arial"/>
                <w:b/>
                <w:i/>
                <w:iCs/>
                <w:sz w:val="16"/>
              </w:rPr>
              <w:t>.58**</w:t>
            </w:r>
          </w:p>
        </w:tc>
      </w:tr>
    </w:tbl>
    <w:p w14:paraId="7A11875D" w14:textId="422BE25F" w:rsidR="00AE3E37" w:rsidRDefault="00AE3E37">
      <w:pPr>
        <w:pStyle w:val="BodyText"/>
        <w:spacing w:before="2"/>
        <w:rPr>
          <w:rFonts w:ascii="Arial"/>
          <w:b/>
          <w:sz w:val="16"/>
        </w:rPr>
      </w:pPr>
    </w:p>
    <w:p w14:paraId="7844184A" w14:textId="77777777" w:rsidR="00814D9E" w:rsidRDefault="00814D9E" w:rsidP="005973B9">
      <w:pPr>
        <w:spacing w:line="204" w:lineRule="exact"/>
        <w:rPr>
          <w:rFonts w:ascii="Arial"/>
          <w:b/>
          <w:color w:val="BF5A14"/>
          <w:sz w:val="20"/>
        </w:rPr>
      </w:pPr>
      <w:r w:rsidRPr="00814D9E">
        <w:rPr>
          <w:rFonts w:asciiTheme="majorBidi" w:hAnsiTheme="majorBidi" w:cstheme="majorBidi"/>
          <w:b/>
          <w:bCs/>
          <w:sz w:val="18"/>
          <w:szCs w:val="20"/>
        </w:rPr>
        <w:t>Item Total Correlation of Trust in Physician Scale</w:t>
      </w:r>
      <w:r w:rsidR="005973B9">
        <w:rPr>
          <w:rFonts w:ascii="Arial"/>
          <w:b/>
          <w:color w:val="BF5A14"/>
          <w:sz w:val="20"/>
        </w:rPr>
        <w:br/>
      </w:r>
    </w:p>
    <w:p w14:paraId="0D82FAC4" w14:textId="3B424454" w:rsidR="005973B9" w:rsidRDefault="005973B9" w:rsidP="005973B9">
      <w:pPr>
        <w:spacing w:line="204" w:lineRule="exact"/>
        <w:rPr>
          <w:rFonts w:ascii="Arial"/>
          <w:b/>
          <w:sz w:val="20"/>
        </w:rPr>
      </w:pPr>
      <w:r>
        <w:rPr>
          <w:rFonts w:ascii="Arial"/>
          <w:b/>
          <w:color w:val="BF5A14"/>
          <w:sz w:val="20"/>
        </w:rPr>
        <w:t>Recent Publications (minimum 5)</w:t>
      </w:r>
    </w:p>
    <w:p w14:paraId="7A7E42A2" w14:textId="77777777" w:rsidR="00133A7B" w:rsidRPr="00133A7B" w:rsidRDefault="00133A7B" w:rsidP="00133A7B">
      <w:pPr>
        <w:pStyle w:val="ListParagraph"/>
        <w:numPr>
          <w:ilvl w:val="0"/>
          <w:numId w:val="3"/>
        </w:numPr>
        <w:tabs>
          <w:tab w:val="left" w:pos="993"/>
        </w:tabs>
        <w:rPr>
          <w:rFonts w:ascii="Tw Cen MT" w:hAnsi="Tw Cen MT" w:cstheme="majorBidi"/>
          <w:sz w:val="16"/>
          <w:szCs w:val="16"/>
        </w:rPr>
      </w:pPr>
      <w:r w:rsidRPr="00133A7B">
        <w:rPr>
          <w:rFonts w:ascii="Tw Cen MT" w:hAnsi="Tw Cen MT" w:cstheme="majorBidi"/>
          <w:sz w:val="16"/>
          <w:szCs w:val="16"/>
        </w:rPr>
        <w:t xml:space="preserve">Anderson, L. A., &amp; </w:t>
      </w:r>
      <w:proofErr w:type="spellStart"/>
      <w:r w:rsidRPr="00133A7B">
        <w:rPr>
          <w:rFonts w:ascii="Tw Cen MT" w:hAnsi="Tw Cen MT" w:cstheme="majorBidi"/>
          <w:sz w:val="16"/>
          <w:szCs w:val="16"/>
        </w:rPr>
        <w:t>Dedrick</w:t>
      </w:r>
      <w:proofErr w:type="spellEnd"/>
      <w:r w:rsidRPr="00133A7B">
        <w:rPr>
          <w:rFonts w:ascii="Tw Cen MT" w:hAnsi="Tw Cen MT" w:cstheme="majorBidi"/>
          <w:sz w:val="16"/>
          <w:szCs w:val="16"/>
        </w:rPr>
        <w:t xml:space="preserve">, R. F. (1990). Development of the Trust in Physician Scale: a measure to assess interpersonal trust in patient-physician relationships. </w:t>
      </w:r>
      <w:r w:rsidRPr="00133A7B">
        <w:rPr>
          <w:rFonts w:ascii="Tw Cen MT" w:hAnsi="Tw Cen MT" w:cstheme="majorBidi"/>
          <w:i/>
          <w:iCs/>
          <w:sz w:val="16"/>
          <w:szCs w:val="16"/>
        </w:rPr>
        <w:t>Psychology Reports</w:t>
      </w:r>
      <w:r w:rsidRPr="00133A7B">
        <w:rPr>
          <w:rFonts w:ascii="Tw Cen MT" w:hAnsi="Tw Cen MT" w:cstheme="majorBidi"/>
          <w:sz w:val="16"/>
          <w:szCs w:val="16"/>
        </w:rPr>
        <w:t>,</w:t>
      </w:r>
      <w:r w:rsidRPr="00133A7B">
        <w:rPr>
          <w:rFonts w:ascii="Tw Cen MT" w:hAnsi="Tw Cen MT" w:cstheme="majorBidi"/>
          <w:i/>
          <w:iCs/>
          <w:sz w:val="16"/>
          <w:szCs w:val="16"/>
        </w:rPr>
        <w:t xml:space="preserve"> 67</w:t>
      </w:r>
      <w:r w:rsidRPr="00133A7B">
        <w:rPr>
          <w:rFonts w:ascii="Tw Cen MT" w:hAnsi="Tw Cen MT" w:cstheme="majorBidi"/>
          <w:sz w:val="16"/>
          <w:szCs w:val="16"/>
        </w:rPr>
        <w:t>, 1091–100.</w:t>
      </w:r>
    </w:p>
    <w:p w14:paraId="40FC75FF" w14:textId="50056847" w:rsidR="00133A7B" w:rsidRPr="00133A7B" w:rsidRDefault="00133A7B" w:rsidP="00133A7B">
      <w:pPr>
        <w:pStyle w:val="ListParagraph"/>
        <w:numPr>
          <w:ilvl w:val="0"/>
          <w:numId w:val="3"/>
        </w:numPr>
        <w:tabs>
          <w:tab w:val="left" w:pos="993"/>
        </w:tabs>
        <w:rPr>
          <w:rFonts w:ascii="Tw Cen MT" w:hAnsi="Tw Cen MT" w:cstheme="majorBidi"/>
          <w:sz w:val="16"/>
          <w:szCs w:val="16"/>
        </w:rPr>
      </w:pPr>
      <w:r w:rsidRPr="00133A7B">
        <w:rPr>
          <w:rFonts w:ascii="Tw Cen MT" w:hAnsi="Tw Cen MT" w:cstheme="majorBidi"/>
          <w:sz w:val="16"/>
          <w:szCs w:val="16"/>
        </w:rPr>
        <w:t>Hall, M. A., Dugan, E., Zheng, B. Y., &amp; Mishra, A. K. (2001). Trust in physicians and medical institutions: what is it, can it be measured, and does it matter</w:t>
      </w:r>
      <w:r w:rsidRPr="00133A7B">
        <w:rPr>
          <w:rFonts w:ascii="Tw Cen MT" w:hAnsi="Tw Cen MT" w:cstheme="majorBidi"/>
          <w:i/>
          <w:iCs/>
          <w:sz w:val="16"/>
          <w:szCs w:val="16"/>
        </w:rPr>
        <w:t>? Milbank Quarterly</w:t>
      </w:r>
      <w:r w:rsidRPr="00133A7B">
        <w:rPr>
          <w:rFonts w:ascii="Tw Cen MT" w:hAnsi="Tw Cen MT" w:cstheme="majorBidi"/>
          <w:sz w:val="16"/>
          <w:szCs w:val="16"/>
        </w:rPr>
        <w:t xml:space="preserve">, </w:t>
      </w:r>
      <w:r w:rsidRPr="00133A7B">
        <w:rPr>
          <w:rFonts w:ascii="Tw Cen MT" w:hAnsi="Tw Cen MT" w:cstheme="majorBidi"/>
          <w:i/>
          <w:iCs/>
          <w:sz w:val="16"/>
          <w:szCs w:val="16"/>
        </w:rPr>
        <w:t>79</w:t>
      </w:r>
      <w:r w:rsidRPr="00133A7B">
        <w:rPr>
          <w:rFonts w:ascii="Tw Cen MT" w:hAnsi="Tw Cen MT" w:cstheme="majorBidi"/>
          <w:sz w:val="16"/>
          <w:szCs w:val="16"/>
        </w:rPr>
        <w:t xml:space="preserve">, 613-639. </w:t>
      </w:r>
    </w:p>
    <w:p w14:paraId="0FFEBF7D" w14:textId="77777777" w:rsidR="00814D9E" w:rsidRPr="00133A7B" w:rsidRDefault="00814D9E" w:rsidP="00814D9E">
      <w:pPr>
        <w:pStyle w:val="ListParagraph"/>
        <w:numPr>
          <w:ilvl w:val="0"/>
          <w:numId w:val="3"/>
        </w:numPr>
        <w:spacing w:after="160"/>
        <w:jc w:val="lowKashida"/>
        <w:rPr>
          <w:rFonts w:ascii="Tw Cen MT" w:hAnsi="Tw Cen MT" w:cstheme="majorBidi"/>
          <w:sz w:val="16"/>
          <w:szCs w:val="16"/>
        </w:rPr>
      </w:pPr>
      <w:proofErr w:type="spellStart"/>
      <w:r w:rsidRPr="00133A7B">
        <w:rPr>
          <w:rFonts w:ascii="Tw Cen MT" w:hAnsi="Tw Cen MT" w:cstheme="majorBidi"/>
          <w:sz w:val="16"/>
          <w:szCs w:val="16"/>
        </w:rPr>
        <w:t>Krot</w:t>
      </w:r>
      <w:proofErr w:type="spellEnd"/>
      <w:r w:rsidRPr="00133A7B">
        <w:rPr>
          <w:rFonts w:ascii="Tw Cen MT" w:hAnsi="Tw Cen MT" w:cstheme="majorBidi"/>
          <w:sz w:val="16"/>
          <w:szCs w:val="16"/>
        </w:rPr>
        <w:t xml:space="preserve">, K., &amp; </w:t>
      </w:r>
      <w:proofErr w:type="spellStart"/>
      <w:r w:rsidRPr="00133A7B">
        <w:rPr>
          <w:rFonts w:ascii="Tw Cen MT" w:hAnsi="Tw Cen MT" w:cstheme="majorBidi"/>
          <w:sz w:val="16"/>
          <w:szCs w:val="16"/>
        </w:rPr>
        <w:t>Rudawska</w:t>
      </w:r>
      <w:proofErr w:type="spellEnd"/>
      <w:r w:rsidRPr="00133A7B">
        <w:rPr>
          <w:rFonts w:ascii="Tw Cen MT" w:hAnsi="Tw Cen MT" w:cstheme="majorBidi"/>
          <w:sz w:val="16"/>
          <w:szCs w:val="16"/>
        </w:rPr>
        <w:t xml:space="preserve">, I. (2017). Patients’ Trust in Physicians as an Antecedent of Satisfaction with Medical Services. </w:t>
      </w:r>
      <w:r w:rsidRPr="00133A7B">
        <w:rPr>
          <w:rFonts w:ascii="Tw Cen MT" w:hAnsi="Tw Cen MT" w:cstheme="majorBidi"/>
          <w:i/>
          <w:iCs/>
          <w:sz w:val="16"/>
          <w:szCs w:val="16"/>
        </w:rPr>
        <w:t>Economics and Sociology</w:t>
      </w:r>
      <w:r w:rsidRPr="00133A7B">
        <w:rPr>
          <w:rFonts w:ascii="Tw Cen MT" w:hAnsi="Tw Cen MT" w:cstheme="majorBidi"/>
          <w:sz w:val="16"/>
          <w:szCs w:val="16"/>
        </w:rPr>
        <w:t xml:space="preserve">, </w:t>
      </w:r>
      <w:r w:rsidRPr="00133A7B">
        <w:rPr>
          <w:rFonts w:ascii="Tw Cen MT" w:hAnsi="Tw Cen MT" w:cstheme="majorBidi"/>
          <w:i/>
          <w:iCs/>
          <w:sz w:val="16"/>
          <w:szCs w:val="16"/>
        </w:rPr>
        <w:t>10,</w:t>
      </w:r>
      <w:r w:rsidRPr="00133A7B">
        <w:rPr>
          <w:rFonts w:ascii="Tw Cen MT" w:hAnsi="Tw Cen MT" w:cstheme="majorBidi"/>
          <w:sz w:val="16"/>
          <w:szCs w:val="16"/>
        </w:rPr>
        <w:t xml:space="preserve"> 207-216. </w:t>
      </w:r>
      <w:hyperlink r:id="rId9" w:history="1">
        <w:r w:rsidRPr="00133A7B">
          <w:rPr>
            <w:rFonts w:ascii="Tw Cen MT" w:hAnsi="Tw Cen MT" w:cstheme="majorBidi"/>
            <w:color w:val="0563C1"/>
            <w:sz w:val="16"/>
            <w:szCs w:val="16"/>
            <w:u w:val="single"/>
          </w:rPr>
          <w:t>https:/</w:t>
        </w:r>
        <w:r w:rsidRPr="00133A7B">
          <w:rPr>
            <w:rFonts w:ascii="Tw Cen MT" w:hAnsi="Tw Cen MT" w:cstheme="majorBidi"/>
            <w:color w:val="0563C1"/>
            <w:sz w:val="16"/>
            <w:szCs w:val="16"/>
            <w:u w:val="single"/>
          </w:rPr>
          <w:t>/</w:t>
        </w:r>
        <w:r w:rsidRPr="00133A7B">
          <w:rPr>
            <w:rFonts w:ascii="Tw Cen MT" w:hAnsi="Tw Cen MT" w:cstheme="majorBidi"/>
            <w:color w:val="0563C1"/>
            <w:sz w:val="16"/>
            <w:szCs w:val="16"/>
            <w:u w:val="single"/>
          </w:rPr>
          <w:t>doi.org/10.14254/2071-789X.2017/10-2/15</w:t>
        </w:r>
      </w:hyperlink>
    </w:p>
    <w:p w14:paraId="179FECD7" w14:textId="77777777" w:rsidR="00133A7B" w:rsidRPr="00133A7B" w:rsidRDefault="00133A7B" w:rsidP="00133A7B">
      <w:pPr>
        <w:pStyle w:val="ListParagraph"/>
        <w:numPr>
          <w:ilvl w:val="0"/>
          <w:numId w:val="3"/>
        </w:numPr>
        <w:spacing w:after="160"/>
        <w:jc w:val="lowKashida"/>
        <w:rPr>
          <w:rFonts w:ascii="Tw Cen MT" w:hAnsi="Tw Cen MT" w:cstheme="majorBidi"/>
          <w:sz w:val="16"/>
          <w:szCs w:val="16"/>
        </w:rPr>
      </w:pPr>
      <w:proofErr w:type="spellStart"/>
      <w:r w:rsidRPr="00133A7B">
        <w:rPr>
          <w:rFonts w:ascii="Tw Cen MT" w:hAnsi="Tw Cen MT" w:cstheme="majorBidi"/>
          <w:sz w:val="16"/>
          <w:szCs w:val="16"/>
        </w:rPr>
        <w:t>Patawayati</w:t>
      </w:r>
      <w:proofErr w:type="spellEnd"/>
      <w:r w:rsidRPr="00133A7B">
        <w:rPr>
          <w:rFonts w:ascii="Tw Cen MT" w:hAnsi="Tw Cen MT" w:cstheme="majorBidi"/>
          <w:sz w:val="16"/>
          <w:szCs w:val="16"/>
        </w:rPr>
        <w:t xml:space="preserve">, D. Z., Zain, Setiawan, M. &amp; </w:t>
      </w:r>
      <w:proofErr w:type="spellStart"/>
      <w:r w:rsidRPr="00133A7B">
        <w:rPr>
          <w:rFonts w:ascii="Tw Cen MT" w:hAnsi="Tw Cen MT" w:cstheme="majorBidi"/>
          <w:sz w:val="16"/>
          <w:szCs w:val="16"/>
        </w:rPr>
        <w:t>Rahayu</w:t>
      </w:r>
      <w:proofErr w:type="spellEnd"/>
      <w:r w:rsidRPr="00133A7B">
        <w:rPr>
          <w:rFonts w:ascii="Tw Cen MT" w:hAnsi="Tw Cen MT" w:cstheme="majorBidi"/>
          <w:sz w:val="16"/>
          <w:szCs w:val="16"/>
        </w:rPr>
        <w:t xml:space="preserve">, M. (2013). Patient satisfaction, trust, and commitment: a mediator of service quality and its impact on loyalty (An empirical study in Southeast Sulawesi public hospitals). </w:t>
      </w:r>
      <w:r w:rsidRPr="00133A7B">
        <w:rPr>
          <w:rFonts w:ascii="Tw Cen MT" w:hAnsi="Tw Cen MT" w:cstheme="majorBidi"/>
          <w:i/>
          <w:iCs/>
          <w:sz w:val="16"/>
          <w:szCs w:val="16"/>
        </w:rPr>
        <w:t>Journal of Business and Management, 7,</w:t>
      </w:r>
      <w:r w:rsidRPr="00133A7B">
        <w:rPr>
          <w:rFonts w:ascii="Tw Cen MT" w:hAnsi="Tw Cen MT" w:cstheme="majorBidi"/>
          <w:sz w:val="16"/>
          <w:szCs w:val="16"/>
        </w:rPr>
        <w:t xml:space="preserve"> 01-14.</w:t>
      </w:r>
    </w:p>
    <w:p w14:paraId="3F2A0876" w14:textId="6D4DB48B" w:rsidR="00133A7B" w:rsidRPr="00133A7B" w:rsidRDefault="00133A7B" w:rsidP="00133A7B">
      <w:pPr>
        <w:pStyle w:val="ListParagraph"/>
        <w:numPr>
          <w:ilvl w:val="0"/>
          <w:numId w:val="3"/>
        </w:numPr>
        <w:spacing w:after="160"/>
        <w:jc w:val="lowKashida"/>
        <w:rPr>
          <w:rFonts w:ascii="Tw Cen MT" w:hAnsi="Tw Cen MT" w:cstheme="majorBidi"/>
          <w:sz w:val="16"/>
          <w:szCs w:val="16"/>
        </w:rPr>
      </w:pPr>
      <w:r w:rsidRPr="00133A7B">
        <w:rPr>
          <w:rFonts w:ascii="Tw Cen MT" w:hAnsi="Tw Cen MT" w:cstheme="majorBidi"/>
          <w:sz w:val="16"/>
          <w:szCs w:val="16"/>
        </w:rPr>
        <w:t xml:space="preserve">Ram, D., &amp; </w:t>
      </w:r>
      <w:proofErr w:type="spellStart"/>
      <w:r w:rsidRPr="00133A7B">
        <w:rPr>
          <w:rFonts w:ascii="Tw Cen MT" w:hAnsi="Tw Cen MT" w:cstheme="majorBidi"/>
          <w:sz w:val="16"/>
          <w:szCs w:val="16"/>
        </w:rPr>
        <w:t>Gowdappa</w:t>
      </w:r>
      <w:proofErr w:type="spellEnd"/>
      <w:r w:rsidRPr="00133A7B">
        <w:rPr>
          <w:rFonts w:ascii="Tw Cen MT" w:hAnsi="Tw Cen MT" w:cstheme="majorBidi"/>
          <w:sz w:val="16"/>
          <w:szCs w:val="16"/>
        </w:rPr>
        <w:t xml:space="preserve">, B. (2015b). Trust and Expectation of Psychiatrist and its Correlation with Satisfaction and Adherence in Patients with Mental Illness. </w:t>
      </w:r>
      <w:r w:rsidRPr="00133A7B">
        <w:rPr>
          <w:rFonts w:ascii="Tw Cen MT" w:hAnsi="Tw Cen MT" w:cstheme="majorBidi"/>
          <w:i/>
          <w:iCs/>
          <w:sz w:val="16"/>
          <w:szCs w:val="16"/>
        </w:rPr>
        <w:t>SSRN Electronic Journal</w:t>
      </w:r>
      <w:r w:rsidRPr="00133A7B">
        <w:rPr>
          <w:rFonts w:ascii="Tw Cen MT" w:hAnsi="Tw Cen MT" w:cstheme="majorBidi"/>
          <w:sz w:val="16"/>
          <w:szCs w:val="16"/>
        </w:rPr>
        <w:t xml:space="preserve">, </w:t>
      </w:r>
      <w:r w:rsidRPr="00133A7B">
        <w:rPr>
          <w:rFonts w:ascii="Tw Cen MT" w:hAnsi="Tw Cen MT" w:cstheme="majorBidi"/>
          <w:i/>
          <w:iCs/>
          <w:sz w:val="16"/>
          <w:szCs w:val="16"/>
        </w:rPr>
        <w:t>43</w:t>
      </w:r>
      <w:r w:rsidRPr="00133A7B">
        <w:rPr>
          <w:rFonts w:ascii="Tw Cen MT" w:hAnsi="Tw Cen MT" w:cstheme="majorBidi"/>
          <w:sz w:val="16"/>
          <w:szCs w:val="16"/>
        </w:rPr>
        <w:t>(1), 13–17. https://doi.org/10.2139/ssrn.2642392</w:t>
      </w:r>
    </w:p>
    <w:p w14:paraId="1DDAE9F6" w14:textId="4A936D09" w:rsidR="00AE3E37" w:rsidRPr="00133A7B" w:rsidRDefault="00AE3E37" w:rsidP="00133A7B">
      <w:pPr>
        <w:pStyle w:val="ListParagraph"/>
        <w:numPr>
          <w:ilvl w:val="0"/>
          <w:numId w:val="3"/>
        </w:numPr>
        <w:spacing w:after="160"/>
        <w:jc w:val="lowKashida"/>
        <w:rPr>
          <w:rFonts w:ascii="Tw Cen MT" w:hAnsi="Tw Cen MT" w:cstheme="majorBidi"/>
          <w:sz w:val="18"/>
          <w:szCs w:val="18"/>
        </w:rPr>
        <w:sectPr w:rsidR="00AE3E37" w:rsidRPr="00133A7B">
          <w:type w:val="continuous"/>
          <w:pgSz w:w="11910" w:h="16840"/>
          <w:pgMar w:top="1740" w:right="600" w:bottom="840" w:left="620" w:header="720" w:footer="720" w:gutter="0"/>
          <w:cols w:num="2" w:space="720" w:equalWidth="0">
            <w:col w:w="5214" w:space="138"/>
            <w:col w:w="5338"/>
          </w:cols>
        </w:sectPr>
      </w:pPr>
    </w:p>
    <w:p w14:paraId="724E4375" w14:textId="3FEFB779" w:rsidR="00AE3E37" w:rsidRPr="00D62425" w:rsidRDefault="00D62425" w:rsidP="00814D9E">
      <w:pPr>
        <w:pStyle w:val="BodyText"/>
        <w:rPr>
          <w:rFonts w:ascii="Calibri"/>
          <w:b/>
          <w:sz w:val="20"/>
        </w:rPr>
      </w:pPr>
      <w:r>
        <w:rPr>
          <w:rFonts w:ascii="Calibri"/>
          <w:sz w:val="20"/>
        </w:rPr>
        <w:t xml:space="preserve">                 </w:t>
      </w:r>
    </w:p>
    <w:p w14:paraId="3F7EE1A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14D0C9B" wp14:editId="63E98D1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7E99B10" w14:textId="77777777" w:rsidR="00814D9E" w:rsidRDefault="008756E6" w:rsidP="00404E5B">
      <w:pPr>
        <w:spacing w:before="92"/>
        <w:ind w:right="4234"/>
        <w:rPr>
          <w:noProof/>
        </w:rPr>
      </w:pPr>
      <w:r>
        <w:rPr>
          <w:noProof/>
        </w:rPr>
        <w:t xml:space="preserve">              </w:t>
      </w:r>
    </w:p>
    <w:p w14:paraId="5775DC3C" w14:textId="4A674084" w:rsidR="00814D9E" w:rsidRDefault="00814D9E" w:rsidP="00404E5B">
      <w:pPr>
        <w:spacing w:before="92"/>
        <w:ind w:right="4234"/>
        <w:rPr>
          <w:noProof/>
        </w:rPr>
      </w:pPr>
      <w:r>
        <w:rPr>
          <w:noProof/>
        </w:rPr>
        <w:drawing>
          <wp:inline distT="0" distB="0" distL="0" distR="0" wp14:anchorId="7622D32E" wp14:editId="11A21F58">
            <wp:extent cx="1032934" cy="886385"/>
            <wp:effectExtent l="0" t="0" r="0" b="3175"/>
            <wp:docPr id="1550761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61925" name="Picture 155076192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1586" cy="910972"/>
                    </a:xfrm>
                    <a:prstGeom prst="rect">
                      <a:avLst/>
                    </a:prstGeom>
                  </pic:spPr>
                </pic:pic>
              </a:graphicData>
            </a:graphic>
          </wp:inline>
        </w:drawing>
      </w:r>
    </w:p>
    <w:p w14:paraId="01A3B124" w14:textId="37EE9924"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F53B9EB" w14:textId="784BFDBB" w:rsidR="00F6764D" w:rsidRDefault="00F6764D" w:rsidP="00F6764D">
      <w:pPr>
        <w:spacing w:before="62"/>
        <w:ind w:left="284" w:right="1618"/>
        <w:jc w:val="center"/>
        <w:rPr>
          <w:rFonts w:ascii="Arial"/>
          <w:sz w:val="14"/>
        </w:rPr>
      </w:pPr>
      <w:r>
        <w:rPr>
          <w:rFonts w:ascii="Arial"/>
          <w:sz w:val="14"/>
        </w:rPr>
        <w:t>Ms. Erum Bibi</w:t>
      </w:r>
      <w:r w:rsidRPr="00F6764D">
        <w:rPr>
          <w:rFonts w:ascii="Arial"/>
          <w:sz w:val="14"/>
        </w:rPr>
        <w:t>, a dynamic psychologist, lecturer, and department coordinator, boasts a rich tapestry of expertise in healthcare and clinical psychology. Serving as the focal person for the internship and job placement bureau</w:t>
      </w:r>
      <w:r>
        <w:rPr>
          <w:rFonts w:ascii="Arial"/>
          <w:sz w:val="14"/>
        </w:rPr>
        <w:t xml:space="preserve"> at the National University of Modern Languages, Pakistan.</w:t>
      </w:r>
      <w:r w:rsidRPr="00F6764D">
        <w:rPr>
          <w:rFonts w:ascii="Arial"/>
          <w:sz w:val="14"/>
        </w:rPr>
        <w:t xml:space="preserve"> </w:t>
      </w:r>
      <w:r>
        <w:rPr>
          <w:rFonts w:ascii="Arial"/>
          <w:sz w:val="14"/>
        </w:rPr>
        <w:t>Ms. Erum</w:t>
      </w:r>
      <w:r w:rsidRPr="00F6764D">
        <w:rPr>
          <w:rFonts w:ascii="Arial"/>
          <w:sz w:val="14"/>
        </w:rPr>
        <w:t xml:space="preserve"> seamlessly intertwines academia with real-world </w:t>
      </w:r>
      <w:r>
        <w:rPr>
          <w:rFonts w:ascii="Arial"/>
          <w:sz w:val="14"/>
        </w:rPr>
        <w:t>applications</w:t>
      </w:r>
      <w:r w:rsidRPr="00F6764D">
        <w:rPr>
          <w:rFonts w:ascii="Arial"/>
          <w:sz w:val="14"/>
        </w:rPr>
        <w:t>. Her research delves into assessing variables impacting medication adherence, treatment satisfaction, and patient trust in physicians. With a keen eye on health inequality, she explores the intricate web of factors shaping disparities in healthcare outcomes</w:t>
      </w:r>
      <w:r>
        <w:rPr>
          <w:rFonts w:ascii="Arial"/>
          <w:sz w:val="14"/>
        </w:rPr>
        <w:t xml:space="preserve"> through research</w:t>
      </w:r>
      <w:r w:rsidRPr="00F6764D">
        <w:rPr>
          <w:rFonts w:ascii="Arial"/>
          <w:sz w:val="14"/>
        </w:rPr>
        <w:t xml:space="preserve">. </w:t>
      </w:r>
      <w:r>
        <w:rPr>
          <w:rFonts w:ascii="Arial"/>
          <w:sz w:val="14"/>
        </w:rPr>
        <w:t xml:space="preserve">Ms. </w:t>
      </w:r>
      <w:proofErr w:type="spellStart"/>
      <w:r>
        <w:rPr>
          <w:rFonts w:ascii="Arial"/>
          <w:sz w:val="14"/>
        </w:rPr>
        <w:t>Erum</w:t>
      </w:r>
      <w:r>
        <w:rPr>
          <w:rFonts w:ascii="Arial"/>
          <w:sz w:val="14"/>
        </w:rPr>
        <w:t>’</w:t>
      </w:r>
      <w:r>
        <w:rPr>
          <w:rFonts w:ascii="Arial"/>
          <w:sz w:val="14"/>
        </w:rPr>
        <w:t>s</w:t>
      </w:r>
      <w:proofErr w:type="spellEnd"/>
      <w:r w:rsidRPr="00F6764D">
        <w:rPr>
          <w:rFonts w:ascii="Arial"/>
          <w:sz w:val="14"/>
        </w:rPr>
        <w:t xml:space="preserve"> work extends beyond the clinic, </w:t>
      </w:r>
      <w:r>
        <w:rPr>
          <w:rFonts w:ascii="Arial"/>
          <w:sz w:val="14"/>
        </w:rPr>
        <w:t>unravelling</w:t>
      </w:r>
      <w:r w:rsidRPr="00F6764D">
        <w:rPr>
          <w:rFonts w:ascii="Arial"/>
          <w:sz w:val="14"/>
        </w:rPr>
        <w:t xml:space="preserve"> the complexities of parenting dynamics and dissecting the psychological underpinnings of panic buying during disasters. Her published works, including "Navigating Trust in </w:t>
      </w:r>
      <w:r>
        <w:rPr>
          <w:rFonts w:ascii="Arial"/>
          <w:sz w:val="14"/>
        </w:rPr>
        <w:t>Physician</w:t>
      </w:r>
      <w:r w:rsidRPr="00F6764D">
        <w:rPr>
          <w:rFonts w:ascii="Arial"/>
          <w:sz w:val="14"/>
        </w:rPr>
        <w:t>" and "Parenting in the Modern Age," showcase her commitment to advancing both academic discourse and societal well-being.</w:t>
      </w:r>
    </w:p>
    <w:p w14:paraId="1EF85A8C" w14:textId="77777777" w:rsidR="00F6764D" w:rsidRDefault="00F6764D" w:rsidP="00F6764D">
      <w:pPr>
        <w:spacing w:before="62"/>
        <w:ind w:left="284" w:right="1618"/>
        <w:jc w:val="center"/>
        <w:rPr>
          <w:rFonts w:ascii="Arial"/>
          <w:sz w:val="14"/>
        </w:rPr>
      </w:pPr>
    </w:p>
    <w:p w14:paraId="480BF474" w14:textId="0B4925EF" w:rsidR="00AE3E37" w:rsidRPr="00F6764D" w:rsidRDefault="00A9710C" w:rsidP="00F6764D">
      <w:pPr>
        <w:spacing w:before="62"/>
        <w:ind w:left="284" w:right="1618"/>
        <w:jc w:val="center"/>
        <w:rPr>
          <w:rFonts w:ascii="Arial"/>
          <w:sz w:val="14"/>
        </w:rPr>
        <w:sectPr w:rsidR="00AE3E37" w:rsidRPr="00F6764D">
          <w:type w:val="continuous"/>
          <w:pgSz w:w="11910" w:h="16840"/>
          <w:pgMar w:top="1740" w:right="600" w:bottom="840" w:left="620" w:header="720" w:footer="720" w:gutter="0"/>
          <w:cols w:space="720"/>
        </w:sectPr>
      </w:pPr>
      <w:r>
        <w:rPr>
          <w:rFonts w:ascii="Arial"/>
          <w:sz w:val="14"/>
        </w:rPr>
        <w:t xml:space="preserve">Email: </w:t>
      </w:r>
      <w:hyperlink r:id="rId11" w:history="1">
        <w:r w:rsidR="00133A7B" w:rsidRPr="0097560A">
          <w:rPr>
            <w:rStyle w:val="Hyperlink"/>
            <w:rFonts w:ascii="Arial"/>
            <w:sz w:val="14"/>
          </w:rPr>
          <w:t>erumbibi83@gmail.com</w:t>
        </w:r>
      </w:hyperlink>
      <w:r w:rsidR="00292ED9">
        <w:rPr>
          <w:noProof/>
          <w:lang w:val="en-IN" w:eastAsia="en-IN"/>
        </w:rPr>
        <mc:AlternateContent>
          <mc:Choice Requires="wps">
            <w:drawing>
              <wp:anchor distT="0" distB="0" distL="0" distR="0" simplePos="0" relativeHeight="1072" behindDoc="0" locked="0" layoutInCell="1" allowOverlap="1" wp14:anchorId="59BD0A9C" wp14:editId="444CE4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DADDD6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459FB" w14:textId="77777777" w:rsidR="000473E9" w:rsidRDefault="000473E9">
      <w:r>
        <w:separator/>
      </w:r>
    </w:p>
  </w:endnote>
  <w:endnote w:type="continuationSeparator" w:id="0">
    <w:p w14:paraId="6A0BB4F1" w14:textId="77777777" w:rsidR="000473E9" w:rsidRDefault="00047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1C1A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889B6D2" wp14:editId="763746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C178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4067A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89B6D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309C178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4067A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1973B91" wp14:editId="61D4F8B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523D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EBE96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73B9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6F7523D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EBE96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56C340" wp14:editId="158D334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B1D1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8088B5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6C34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232B1D1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8088B5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4A3D9" w14:textId="77777777" w:rsidR="000473E9" w:rsidRDefault="000473E9">
      <w:r>
        <w:separator/>
      </w:r>
    </w:p>
  </w:footnote>
  <w:footnote w:type="continuationSeparator" w:id="0">
    <w:p w14:paraId="5E1C6253" w14:textId="77777777" w:rsidR="000473E9" w:rsidRDefault="00047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9188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6DD3310" wp14:editId="3EFC980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44FF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D331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64F44FF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B61D6C7" wp14:editId="7379890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783A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6389E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61D6C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0C5783A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6389E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260790562">
    <w:abstractNumId w:val="0"/>
  </w:num>
  <w:num w:numId="2" w16cid:durableId="595603108">
    <w:abstractNumId w:val="1"/>
  </w:num>
  <w:num w:numId="3" w16cid:durableId="124919237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73E9"/>
    <w:rsid w:val="000E2911"/>
    <w:rsid w:val="001263DF"/>
    <w:rsid w:val="00133A7B"/>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14D9E"/>
    <w:rsid w:val="00873DF0"/>
    <w:rsid w:val="008756E6"/>
    <w:rsid w:val="009B2D44"/>
    <w:rsid w:val="00A07E82"/>
    <w:rsid w:val="00A9710C"/>
    <w:rsid w:val="00AE3E37"/>
    <w:rsid w:val="00B21A57"/>
    <w:rsid w:val="00C33602"/>
    <w:rsid w:val="00CD6F55"/>
    <w:rsid w:val="00D62425"/>
    <w:rsid w:val="00DE3104"/>
    <w:rsid w:val="00F6764D"/>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DA48B"/>
  <w15:docId w15:val="{24FD7962-6978-6C4A-8669-301F49949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Simple1">
    <w:name w:val="Table Simple 1"/>
    <w:basedOn w:val="TableNormal"/>
    <w:uiPriority w:val="99"/>
    <w:semiHidden/>
    <w:unhideWhenUsed/>
    <w:rsid w:val="00814D9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NormalWeb">
    <w:name w:val="Normal (Web)"/>
    <w:basedOn w:val="Normal"/>
    <w:uiPriority w:val="99"/>
    <w:unhideWhenUsed/>
    <w:rsid w:val="00133A7B"/>
    <w:pPr>
      <w:widowControl/>
      <w:spacing w:line="480" w:lineRule="auto"/>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133A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rumbibi83@gmail.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doi.org/10.14254/2071-789X.2017/10-2/15"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Erum Bibi</cp:lastModifiedBy>
  <cp:revision>5</cp:revision>
  <dcterms:created xsi:type="dcterms:W3CDTF">2016-08-31T13:10:00Z</dcterms:created>
  <dcterms:modified xsi:type="dcterms:W3CDTF">2023-11-21T20:19:00Z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