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29371" w14:textId="77777777" w:rsidR="00D73987" w:rsidRPr="00D73987" w:rsidRDefault="00D73987" w:rsidP="00D73987">
      <w:pPr>
        <w:rPr>
          <w:rFonts w:ascii="Times New Roman" w:hAnsi="Times New Roman" w:cs="Times New Roman"/>
          <w:b/>
          <w:bCs/>
          <w:i/>
          <w:iCs/>
          <w:color w:val="1F497D" w:themeColor="text2"/>
          <w:sz w:val="24"/>
          <w:szCs w:val="24"/>
          <w:u w:val="single"/>
        </w:rPr>
      </w:pPr>
      <w:r w:rsidRPr="00D73987">
        <w:rPr>
          <w:rFonts w:ascii="Times New Roman" w:hAnsi="Times New Roman" w:cs="Times New Roman"/>
          <w:b/>
          <w:bCs/>
          <w:i/>
          <w:iCs/>
          <w:color w:val="1F497D" w:themeColor="text2"/>
          <w:sz w:val="24"/>
          <w:szCs w:val="24"/>
          <w:u w:val="single"/>
        </w:rPr>
        <w:t>A Systematic Review on Exploring the Lifelong Impact of Early Attachment Styles on Adult Depressive Experiences</w:t>
      </w:r>
    </w:p>
    <w:p w14:paraId="17032C4B" w14:textId="77777777" w:rsidR="00AE3E37" w:rsidRPr="00D73987" w:rsidRDefault="00AE3E37">
      <w:pPr>
        <w:pStyle w:val="BodyText"/>
        <w:spacing w:before="3"/>
        <w:rPr>
          <w:rFonts w:ascii="Arial"/>
          <w:sz w:val="16"/>
          <w:szCs w:val="16"/>
        </w:rPr>
      </w:pPr>
    </w:p>
    <w:p w14:paraId="2026BBCB" w14:textId="782A94B2" w:rsidR="00D73987" w:rsidRPr="00D73987" w:rsidRDefault="00D73987" w:rsidP="00D73987">
      <w:pPr>
        <w:pStyle w:val="BodyText"/>
        <w:rPr>
          <w:rFonts w:ascii="Arial"/>
          <w:b/>
          <w:bCs/>
          <w:szCs w:val="16"/>
        </w:rPr>
      </w:pPr>
      <w:proofErr w:type="spellStart"/>
      <w:r w:rsidRPr="00D73987">
        <w:rPr>
          <w:rFonts w:ascii="Arial"/>
          <w:b/>
          <w:bCs/>
          <w:i/>
          <w:iCs/>
          <w:sz w:val="16"/>
          <w:szCs w:val="16"/>
        </w:rPr>
        <w:t>Madeena</w:t>
      </w:r>
      <w:proofErr w:type="spellEnd"/>
      <w:r w:rsidRPr="00D73987">
        <w:rPr>
          <w:rFonts w:ascii="Arial"/>
          <w:b/>
          <w:bCs/>
          <w:i/>
          <w:iCs/>
          <w:sz w:val="16"/>
          <w:szCs w:val="16"/>
        </w:rPr>
        <w:t xml:space="preserve"> </w:t>
      </w:r>
      <w:proofErr w:type="spellStart"/>
      <w:r w:rsidRPr="00D73987">
        <w:rPr>
          <w:rFonts w:ascii="Arial"/>
          <w:b/>
          <w:bCs/>
          <w:i/>
          <w:iCs/>
          <w:sz w:val="16"/>
          <w:szCs w:val="16"/>
        </w:rPr>
        <w:t>Saeedi</w:t>
      </w:r>
      <w:proofErr w:type="spellEnd"/>
      <w:r w:rsidRPr="00D73987">
        <w:rPr>
          <w:rFonts w:ascii="Arial"/>
          <w:b/>
          <w:bCs/>
          <w:i/>
          <w:iCs/>
          <w:sz w:val="16"/>
          <w:szCs w:val="16"/>
        </w:rPr>
        <w:t xml:space="preserve">, BSc, MSc, </w:t>
      </w:r>
      <w:proofErr w:type="spellStart"/>
      <w:r w:rsidRPr="00D73987">
        <w:rPr>
          <w:rFonts w:ascii="Arial"/>
          <w:b/>
          <w:bCs/>
          <w:i/>
          <w:iCs/>
          <w:sz w:val="16"/>
          <w:szCs w:val="16"/>
        </w:rPr>
        <w:t>GMBPsS</w:t>
      </w:r>
      <w:proofErr w:type="spellEnd"/>
      <w:r w:rsidRPr="00D73987">
        <w:rPr>
          <w:rFonts w:ascii="Arial"/>
          <w:b/>
          <w:bCs/>
          <w:i/>
          <w:iCs/>
          <w:sz w:val="16"/>
          <w:szCs w:val="16"/>
        </w:rPr>
        <w:t>, - Queen Mary University of London, U</w:t>
      </w:r>
      <w:r w:rsidR="007003F2">
        <w:rPr>
          <w:rFonts w:ascii="Arial"/>
          <w:b/>
          <w:bCs/>
          <w:i/>
          <w:iCs/>
          <w:sz w:val="16"/>
          <w:szCs w:val="16"/>
        </w:rPr>
        <w:t>nited Kingdom</w:t>
      </w:r>
    </w:p>
    <w:p w14:paraId="08FF1E1C" w14:textId="77777777" w:rsidR="00D73987" w:rsidRPr="00D73987" w:rsidRDefault="00D73987" w:rsidP="00D73987">
      <w:pPr>
        <w:pStyle w:val="BodyText"/>
        <w:spacing w:before="3"/>
        <w:rPr>
          <w:rFonts w:ascii="Arial"/>
          <w:sz w:val="20"/>
          <w:szCs w:val="16"/>
        </w:rPr>
      </w:pPr>
    </w:p>
    <w:p w14:paraId="143870AC" w14:textId="77777777" w:rsidR="00D73987" w:rsidRPr="00D73987" w:rsidRDefault="00D73987">
      <w:pPr>
        <w:pStyle w:val="BodyText"/>
        <w:spacing w:before="3"/>
        <w:rPr>
          <w:rFonts w:ascii="Arial"/>
          <w:sz w:val="20"/>
          <w:szCs w:val="16"/>
        </w:rPr>
      </w:pPr>
    </w:p>
    <w:p w14:paraId="6FC6F556" w14:textId="77777777" w:rsidR="00AE3E37" w:rsidRPr="00D73987" w:rsidRDefault="00AE3E37">
      <w:pPr>
        <w:rPr>
          <w:rFonts w:ascii="Arial"/>
          <w:sz w:val="20"/>
          <w:szCs w:val="21"/>
        </w:rPr>
        <w:sectPr w:rsidR="00AE3E37" w:rsidRPr="00D73987">
          <w:headerReference w:type="default" r:id="rId7"/>
          <w:footerReference w:type="default" r:id="rId8"/>
          <w:type w:val="continuous"/>
          <w:pgSz w:w="11910" w:h="16840"/>
          <w:pgMar w:top="1740" w:right="600" w:bottom="840" w:left="620" w:header="541" w:footer="642" w:gutter="0"/>
          <w:cols w:space="720"/>
        </w:sectPr>
      </w:pPr>
    </w:p>
    <w:p w14:paraId="3EBED802" w14:textId="55D73809" w:rsidR="00AE3E37" w:rsidRPr="00D73987" w:rsidRDefault="00A9710C">
      <w:pPr>
        <w:pStyle w:val="Heading3"/>
        <w:spacing w:before="147"/>
        <w:jc w:val="both"/>
        <w:rPr>
          <w:color w:val="BF5A14"/>
          <w:sz w:val="18"/>
          <w:szCs w:val="18"/>
        </w:rPr>
      </w:pPr>
      <w:r w:rsidRPr="00D73987">
        <w:rPr>
          <w:color w:val="BF5A14"/>
          <w:sz w:val="18"/>
          <w:szCs w:val="18"/>
        </w:rPr>
        <w:t>Abstract</w:t>
      </w:r>
      <w:r w:rsidR="00404E5B" w:rsidRPr="00D73987">
        <w:rPr>
          <w:color w:val="BF5A14"/>
          <w:sz w:val="18"/>
          <w:szCs w:val="18"/>
        </w:rPr>
        <w:t xml:space="preserve"> </w:t>
      </w:r>
    </w:p>
    <w:p w14:paraId="238520B4" w14:textId="77777777" w:rsidR="00D73987" w:rsidRPr="00D73987" w:rsidRDefault="00D73987">
      <w:pPr>
        <w:pStyle w:val="Heading3"/>
        <w:spacing w:before="147"/>
        <w:jc w:val="both"/>
        <w:rPr>
          <w:color w:val="BF5A14"/>
          <w:sz w:val="18"/>
          <w:szCs w:val="18"/>
        </w:rPr>
      </w:pPr>
    </w:p>
    <w:p w14:paraId="69AD0227" w14:textId="14A37A96" w:rsidR="00D73987" w:rsidRPr="00D73987" w:rsidRDefault="00D73987" w:rsidP="00D73987">
      <w:pPr>
        <w:spacing w:line="480" w:lineRule="auto"/>
        <w:rPr>
          <w:rFonts w:ascii="Times New Roman" w:hAnsi="Times New Roman" w:cs="Times New Roman"/>
          <w:sz w:val="21"/>
          <w:szCs w:val="21"/>
        </w:rPr>
      </w:pPr>
      <w:r w:rsidRPr="00D73987">
        <w:rPr>
          <w:rFonts w:ascii="Times New Roman" w:hAnsi="Times New Roman" w:cs="Times New Roman"/>
          <w:sz w:val="21"/>
          <w:szCs w:val="21"/>
        </w:rPr>
        <w:t>Attachment style and depression are two vital areas of study that have gained significant attention in recent years, and understanding their connection can provide valuable insights into preventing depression in adults. This systematic review paper aims to investigate the association between early attachment styles and adult depression. The study employed a population, exposure, and outcome framework with specific inclusion and exclusion criteria for the selected articles, which were obtained from three databases The outcomes revealed that childhood maltreatment and insecure attachment styles, particularly insecure-avoidant and insecure-anxious, were significantly associated with adult depression. However, there was one outlying study that did not find significant associations between attachment styles and depression.</w:t>
      </w:r>
    </w:p>
    <w:p w14:paraId="31C64A67" w14:textId="23A9CDE2" w:rsidR="00AE3E37" w:rsidRPr="00D73987" w:rsidRDefault="00A9710C" w:rsidP="00D73987">
      <w:pPr>
        <w:pStyle w:val="Heading3"/>
        <w:spacing w:before="74"/>
        <w:ind w:left="0"/>
        <w:rPr>
          <w:sz w:val="18"/>
          <w:szCs w:val="18"/>
        </w:rPr>
      </w:pPr>
      <w:r w:rsidRPr="00D73987">
        <w:rPr>
          <w:b w:val="0"/>
          <w:sz w:val="18"/>
          <w:szCs w:val="18"/>
        </w:rPr>
        <w:br w:type="column"/>
      </w:r>
      <w:r w:rsidRPr="00D73987">
        <w:rPr>
          <w:color w:val="BF5A14"/>
          <w:sz w:val="18"/>
          <w:szCs w:val="18"/>
        </w:rPr>
        <w:t>Image</w:t>
      </w:r>
    </w:p>
    <w:p w14:paraId="1F212A0F" w14:textId="7CE48D86" w:rsidR="00AE3E37" w:rsidRPr="00D73987" w:rsidRDefault="00AE3E37">
      <w:pPr>
        <w:pStyle w:val="BodyText"/>
        <w:spacing w:before="2"/>
        <w:rPr>
          <w:rFonts w:ascii="Arial"/>
          <w:b/>
          <w:sz w:val="15"/>
          <w:szCs w:val="16"/>
        </w:rPr>
      </w:pPr>
    </w:p>
    <w:p w14:paraId="2A630158" w14:textId="0041CD9D" w:rsidR="00D73987" w:rsidRPr="00D73987" w:rsidRDefault="00D73987">
      <w:pPr>
        <w:pStyle w:val="BodyText"/>
        <w:spacing w:before="2"/>
        <w:rPr>
          <w:rFonts w:ascii="Arial"/>
          <w:b/>
          <w:sz w:val="15"/>
          <w:szCs w:val="16"/>
        </w:rPr>
      </w:pPr>
      <w:r w:rsidRPr="00D73987">
        <w:rPr>
          <w:sz w:val="16"/>
          <w:szCs w:val="16"/>
        </w:rPr>
        <w:fldChar w:fldCharType="begin"/>
      </w:r>
      <w:r w:rsidRPr="00D73987">
        <w:rPr>
          <w:sz w:val="16"/>
          <w:szCs w:val="16"/>
        </w:rPr>
        <w:instrText xml:space="preserve"> INCLUDEPICTURE "https://ars.els-cdn.com/content/image/1-s2.0-S0145213417301989-gr1.jpg" \* MERGEFORMATINET </w:instrText>
      </w:r>
      <w:r w:rsidRPr="00D73987">
        <w:rPr>
          <w:sz w:val="16"/>
          <w:szCs w:val="16"/>
        </w:rPr>
        <w:fldChar w:fldCharType="separate"/>
      </w:r>
      <w:r w:rsidRPr="00D73987">
        <w:rPr>
          <w:noProof/>
          <w:sz w:val="16"/>
          <w:szCs w:val="16"/>
        </w:rPr>
        <w:drawing>
          <wp:inline distT="0" distB="0" distL="0" distR="0" wp14:anchorId="7779A01A" wp14:editId="0FFFFBC3">
            <wp:extent cx="3640604" cy="2124710"/>
            <wp:effectExtent l="0" t="0" r="4445" b="0"/>
            <wp:docPr id="322458267" name="Picture 1" descr="Does adult attachment style mediate the relationship between childhood  maltreatment and mental and physical health outcomes?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es adult attachment style mediate the relationship between childhood  maltreatment and mental and physical health outcomes? - ScienceDi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8182" cy="2129133"/>
                    </a:xfrm>
                    <a:prstGeom prst="rect">
                      <a:avLst/>
                    </a:prstGeom>
                    <a:noFill/>
                    <a:ln>
                      <a:noFill/>
                    </a:ln>
                  </pic:spPr>
                </pic:pic>
              </a:graphicData>
            </a:graphic>
          </wp:inline>
        </w:drawing>
      </w:r>
      <w:r w:rsidRPr="00D73987">
        <w:rPr>
          <w:sz w:val="16"/>
          <w:szCs w:val="16"/>
        </w:rPr>
        <w:fldChar w:fldCharType="end"/>
      </w:r>
    </w:p>
    <w:p w14:paraId="679D3348" w14:textId="77777777" w:rsidR="00D73987" w:rsidRPr="00D73987" w:rsidRDefault="00D73987">
      <w:pPr>
        <w:pStyle w:val="BodyText"/>
        <w:spacing w:before="2"/>
        <w:rPr>
          <w:rFonts w:ascii="Arial"/>
          <w:b/>
          <w:sz w:val="15"/>
          <w:szCs w:val="16"/>
        </w:rPr>
      </w:pPr>
    </w:p>
    <w:p w14:paraId="70536DA7" w14:textId="6EB07B88" w:rsidR="00D73987" w:rsidRPr="00D73987" w:rsidRDefault="00D73987">
      <w:pPr>
        <w:pStyle w:val="BodyText"/>
        <w:spacing w:before="2"/>
        <w:rPr>
          <w:rFonts w:ascii="Times New Roman" w:hAnsi="Times New Roman" w:cs="Times New Roman"/>
          <w:b/>
          <w:sz w:val="21"/>
          <w:szCs w:val="21"/>
        </w:rPr>
      </w:pPr>
      <w:r w:rsidRPr="00D73987">
        <w:rPr>
          <w:rFonts w:ascii="Times New Roman" w:hAnsi="Times New Roman" w:cs="Times New Roman"/>
        </w:rPr>
        <w:t>Fig. 1. Paths from childhood neglect and physical abuse to mental health outcomes (depression, anxiety, and self-esteem) through adult attachment styles. Standardized betas are presented. Solid lines are significant paths, dotted lines are not significant. Analyses control for age, sex, race, and family socio-economic status.</w:t>
      </w:r>
      <w:r w:rsidRPr="00D73987">
        <w:rPr>
          <w:rFonts w:ascii="Times New Roman" w:hAnsi="Times New Roman" w:cs="Times New Roman"/>
          <w:sz w:val="21"/>
          <w:szCs w:val="21"/>
        </w:rPr>
        <w:br/>
      </w:r>
    </w:p>
    <w:p w14:paraId="4DDAE0FF" w14:textId="77777777" w:rsidR="00D73987" w:rsidRPr="00D73987" w:rsidRDefault="00D73987">
      <w:pPr>
        <w:pStyle w:val="BodyText"/>
        <w:spacing w:before="2"/>
        <w:rPr>
          <w:rFonts w:ascii="Arial"/>
          <w:b/>
          <w:sz w:val="15"/>
          <w:szCs w:val="16"/>
        </w:rPr>
      </w:pPr>
    </w:p>
    <w:p w14:paraId="6AFAB655" w14:textId="77777777" w:rsidR="00D73987" w:rsidRPr="00D73987" w:rsidRDefault="00D73987">
      <w:pPr>
        <w:pStyle w:val="BodyText"/>
        <w:spacing w:before="2"/>
        <w:rPr>
          <w:rFonts w:ascii="Arial"/>
          <w:b/>
          <w:sz w:val="15"/>
          <w:szCs w:val="16"/>
        </w:rPr>
      </w:pPr>
    </w:p>
    <w:p w14:paraId="565756B7" w14:textId="236F5EC0" w:rsidR="005973B9" w:rsidRPr="00D73987" w:rsidRDefault="005973B9" w:rsidP="005973B9">
      <w:pPr>
        <w:spacing w:line="204" w:lineRule="exact"/>
        <w:rPr>
          <w:rFonts w:ascii="Arial"/>
          <w:b/>
          <w:sz w:val="18"/>
          <w:szCs w:val="21"/>
        </w:rPr>
      </w:pPr>
      <w:r w:rsidRPr="00D73987">
        <w:rPr>
          <w:rFonts w:ascii="Arial"/>
          <w:b/>
          <w:color w:val="BF5A14"/>
          <w:sz w:val="18"/>
          <w:szCs w:val="21"/>
        </w:rPr>
        <w:br/>
        <w:t>Recent Publications</w:t>
      </w:r>
      <w:r w:rsidR="00AE31E6" w:rsidRPr="00D73987">
        <w:rPr>
          <w:rFonts w:ascii="Arial"/>
          <w:b/>
          <w:color w:val="BF5A14"/>
          <w:sz w:val="18"/>
          <w:szCs w:val="21"/>
        </w:rPr>
        <w:t xml:space="preserve"> / Reference </w:t>
      </w:r>
    </w:p>
    <w:p w14:paraId="008A4C2C" w14:textId="77777777" w:rsidR="00AE3E37" w:rsidRPr="00D73987" w:rsidRDefault="00AE3E37" w:rsidP="008756E6">
      <w:pPr>
        <w:tabs>
          <w:tab w:val="left" w:pos="384"/>
        </w:tabs>
        <w:ind w:right="117"/>
        <w:rPr>
          <w:sz w:val="21"/>
          <w:szCs w:val="21"/>
        </w:rPr>
      </w:pPr>
    </w:p>
    <w:p w14:paraId="21489CB8" w14:textId="77777777" w:rsidR="00D73987" w:rsidRPr="00D73987" w:rsidRDefault="00D73987" w:rsidP="00D73987">
      <w:pPr>
        <w:rPr>
          <w:rFonts w:ascii="Times New Roman" w:hAnsi="Times New Roman" w:cs="Times New Roman"/>
          <w:sz w:val="21"/>
          <w:szCs w:val="21"/>
        </w:rPr>
      </w:pPr>
      <w:proofErr w:type="spellStart"/>
      <w:r w:rsidRPr="007003F2">
        <w:rPr>
          <w:rFonts w:ascii="Times New Roman" w:hAnsi="Times New Roman" w:cs="Times New Roman"/>
          <w:sz w:val="21"/>
          <w:szCs w:val="21"/>
          <w:lang w:val="en-GB"/>
        </w:rPr>
        <w:t>Saeedi</w:t>
      </w:r>
      <w:proofErr w:type="spellEnd"/>
      <w:r w:rsidRPr="007003F2">
        <w:rPr>
          <w:rFonts w:ascii="Times New Roman" w:hAnsi="Times New Roman" w:cs="Times New Roman"/>
          <w:sz w:val="21"/>
          <w:szCs w:val="21"/>
          <w:lang w:val="en-GB"/>
        </w:rPr>
        <w:t xml:space="preserve">, M., </w:t>
      </w:r>
      <w:proofErr w:type="spellStart"/>
      <w:r w:rsidRPr="007003F2">
        <w:rPr>
          <w:rFonts w:ascii="Times New Roman" w:hAnsi="Times New Roman" w:cs="Times New Roman"/>
          <w:sz w:val="21"/>
          <w:szCs w:val="21"/>
          <w:lang w:val="en-GB"/>
        </w:rPr>
        <w:t>Kabene</w:t>
      </w:r>
      <w:proofErr w:type="spellEnd"/>
      <w:r w:rsidRPr="007003F2">
        <w:rPr>
          <w:rFonts w:ascii="Times New Roman" w:hAnsi="Times New Roman" w:cs="Times New Roman"/>
          <w:sz w:val="21"/>
          <w:szCs w:val="21"/>
          <w:lang w:val="en-GB"/>
        </w:rPr>
        <w:t xml:space="preserve">, </w:t>
      </w:r>
      <w:proofErr w:type="spellStart"/>
      <w:r w:rsidRPr="007003F2">
        <w:rPr>
          <w:rFonts w:ascii="Times New Roman" w:hAnsi="Times New Roman" w:cs="Times New Roman"/>
          <w:sz w:val="21"/>
          <w:szCs w:val="21"/>
          <w:lang w:val="en-GB"/>
        </w:rPr>
        <w:t>Dr.</w:t>
      </w:r>
      <w:proofErr w:type="spellEnd"/>
      <w:r w:rsidRPr="007003F2">
        <w:rPr>
          <w:rFonts w:ascii="Times New Roman" w:hAnsi="Times New Roman" w:cs="Times New Roman"/>
          <w:sz w:val="21"/>
          <w:szCs w:val="21"/>
          <w:lang w:val="en-GB"/>
        </w:rPr>
        <w:t xml:space="preserve"> S., &amp; Tahir, </w:t>
      </w:r>
      <w:proofErr w:type="spellStart"/>
      <w:r w:rsidRPr="007003F2">
        <w:rPr>
          <w:rFonts w:ascii="Times New Roman" w:hAnsi="Times New Roman" w:cs="Times New Roman"/>
          <w:sz w:val="21"/>
          <w:szCs w:val="21"/>
          <w:lang w:val="en-GB"/>
        </w:rPr>
        <w:t>Dr.</w:t>
      </w:r>
      <w:proofErr w:type="spellEnd"/>
      <w:r w:rsidRPr="007003F2">
        <w:rPr>
          <w:rFonts w:ascii="Times New Roman" w:hAnsi="Times New Roman" w:cs="Times New Roman"/>
          <w:sz w:val="21"/>
          <w:szCs w:val="21"/>
          <w:lang w:val="en-GB"/>
        </w:rPr>
        <w:t xml:space="preserve"> M. (2021). </w:t>
      </w:r>
      <w:r w:rsidRPr="00D73987">
        <w:rPr>
          <w:rFonts w:ascii="Times New Roman" w:hAnsi="Times New Roman" w:cs="Times New Roman"/>
          <w:sz w:val="21"/>
          <w:szCs w:val="21"/>
        </w:rPr>
        <w:t xml:space="preserve">The Power of the Placebo Effect Comparative usage of Placebos in Mental and physical Health. International Journal of Pharmaceutical Research, 13(03). </w:t>
      </w:r>
      <w:hyperlink r:id="rId10" w:history="1">
        <w:r w:rsidRPr="00D73987">
          <w:rPr>
            <w:rStyle w:val="Hyperlink"/>
            <w:rFonts w:ascii="Times New Roman" w:hAnsi="Times New Roman" w:cs="Times New Roman"/>
            <w:sz w:val="21"/>
            <w:szCs w:val="21"/>
          </w:rPr>
          <w:t>https://doi.org/10.31838/ijpr/2021.13.03.016</w:t>
        </w:r>
      </w:hyperlink>
      <w:r w:rsidRPr="00D73987">
        <w:rPr>
          <w:rFonts w:ascii="Times New Roman" w:hAnsi="Times New Roman" w:cs="Times New Roman"/>
          <w:sz w:val="21"/>
          <w:szCs w:val="21"/>
        </w:rPr>
        <w:t xml:space="preserve"> </w:t>
      </w:r>
    </w:p>
    <w:p w14:paraId="79B0FB62" w14:textId="77777777" w:rsidR="00D73987" w:rsidRPr="00D73987" w:rsidRDefault="00D73987" w:rsidP="00D73987">
      <w:pPr>
        <w:rPr>
          <w:sz w:val="21"/>
          <w:szCs w:val="21"/>
        </w:rPr>
      </w:pPr>
    </w:p>
    <w:p w14:paraId="15A8D5D1" w14:textId="77777777" w:rsidR="00D73987" w:rsidRPr="00D73987" w:rsidRDefault="00D73987" w:rsidP="00D73987">
      <w:pPr>
        <w:rPr>
          <w:sz w:val="21"/>
          <w:szCs w:val="21"/>
        </w:rPr>
      </w:pPr>
    </w:p>
    <w:p w14:paraId="0CFB5716" w14:textId="77777777" w:rsidR="00D73987" w:rsidRPr="008756E6" w:rsidRDefault="00D73987" w:rsidP="008756E6">
      <w:pPr>
        <w:tabs>
          <w:tab w:val="left" w:pos="384"/>
        </w:tabs>
        <w:ind w:right="117"/>
      </w:pPr>
    </w:p>
    <w:p w14:paraId="5498DC4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7481ED0" w14:textId="1CD8797E"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4D2D04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B377D7A" wp14:editId="0AD58D6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EF505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68D0EE8" w14:textId="22F52FAB" w:rsidR="00AE3E37" w:rsidRPr="00D73987" w:rsidRDefault="008756E6" w:rsidP="00404E5B">
      <w:pPr>
        <w:spacing w:before="92"/>
        <w:ind w:right="4234"/>
        <w:rPr>
          <w:rFonts w:ascii="Times New Roman" w:hAnsi="Times New Roman" w:cs="Times New Roman"/>
          <w:color w:val="BF5A14"/>
        </w:rPr>
      </w:pPr>
      <w:r w:rsidRPr="00D73987">
        <w:rPr>
          <w:rFonts w:ascii="Times New Roman" w:hAnsi="Times New Roman" w:cs="Times New Roman"/>
          <w:noProof/>
        </w:rPr>
        <w:t xml:space="preserve">              </w:t>
      </w:r>
      <w:r w:rsidR="00D73987">
        <w:rPr>
          <w:rFonts w:ascii="Times New Roman" w:hAnsi="Times New Roman" w:cs="Times New Roman"/>
          <w:noProof/>
        </w:rPr>
        <w:t xml:space="preserve">                             </w:t>
      </w:r>
      <w:r w:rsidR="00A9710C" w:rsidRPr="00D73987">
        <w:rPr>
          <w:rFonts w:ascii="Times New Roman" w:hAnsi="Times New Roman" w:cs="Times New Roman"/>
          <w:color w:val="BF5A14"/>
        </w:rPr>
        <w:t>Biography</w:t>
      </w:r>
      <w:r w:rsidR="00404E5B" w:rsidRPr="00D73987">
        <w:rPr>
          <w:rFonts w:ascii="Times New Roman" w:hAnsi="Times New Roman" w:cs="Times New Roman"/>
          <w:color w:val="BF5A14"/>
        </w:rPr>
        <w:t xml:space="preserve"> </w:t>
      </w:r>
    </w:p>
    <w:p w14:paraId="1C5CC5D9" w14:textId="333284CB" w:rsidR="00D73987" w:rsidRPr="00D73987" w:rsidRDefault="00D73987" w:rsidP="00D73987">
      <w:pPr>
        <w:rPr>
          <w:rFonts w:ascii="Times New Roman" w:hAnsi="Times New Roman" w:cs="Times New Roman"/>
        </w:rPr>
      </w:pPr>
      <w:r w:rsidRPr="00523427">
        <w:rPr>
          <w:noProof/>
        </w:rPr>
        <w:drawing>
          <wp:anchor distT="0" distB="0" distL="114300" distR="114300" simplePos="0" relativeHeight="251658240" behindDoc="0" locked="0" layoutInCell="1" allowOverlap="1" wp14:anchorId="250A1B17" wp14:editId="2C0397A5">
            <wp:simplePos x="0" y="0"/>
            <wp:positionH relativeFrom="column">
              <wp:posOffset>-465380</wp:posOffset>
            </wp:positionH>
            <wp:positionV relativeFrom="page">
              <wp:posOffset>7637145</wp:posOffset>
            </wp:positionV>
            <wp:extent cx="1781810" cy="1720850"/>
            <wp:effectExtent l="0" t="0" r="0" b="6350"/>
            <wp:wrapThrough wrapText="bothSides">
              <wp:wrapPolygon edited="0">
                <wp:start x="0" y="0"/>
                <wp:lineTo x="0" y="21520"/>
                <wp:lineTo x="21400" y="21520"/>
                <wp:lineTo x="21400" y="0"/>
                <wp:lineTo x="0" y="0"/>
              </wp:wrapPolygon>
            </wp:wrapThrough>
            <wp:docPr id="647949528" name="Picture 1" descr="A person in a red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949528" name="Picture 1" descr="A person in a red dres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1810" cy="1720850"/>
                    </a:xfrm>
                    <a:prstGeom prst="rect">
                      <a:avLst/>
                    </a:prstGeom>
                  </pic:spPr>
                </pic:pic>
              </a:graphicData>
            </a:graphic>
            <wp14:sizeRelH relativeFrom="page">
              <wp14:pctWidth>0</wp14:pctWidth>
            </wp14:sizeRelH>
            <wp14:sizeRelV relativeFrom="page">
              <wp14:pctHeight>0</wp14:pctHeight>
            </wp14:sizeRelV>
          </wp:anchor>
        </w:drawing>
      </w:r>
      <w:r w:rsidRPr="00D73987">
        <w:rPr>
          <w:rFonts w:ascii="Times New Roman" w:hAnsi="Times New Roman" w:cs="Times New Roman"/>
        </w:rPr>
        <w:t xml:space="preserve">Having demonstrated dedicated commitment to the advancement of clinical psychology, </w:t>
      </w:r>
      <w:proofErr w:type="spellStart"/>
      <w:r w:rsidRPr="00D73987">
        <w:rPr>
          <w:rFonts w:ascii="Times New Roman" w:hAnsi="Times New Roman" w:cs="Times New Roman"/>
        </w:rPr>
        <w:t>Madeena</w:t>
      </w:r>
      <w:proofErr w:type="spellEnd"/>
      <w:r w:rsidRPr="00D73987">
        <w:rPr>
          <w:rFonts w:ascii="Times New Roman" w:hAnsi="Times New Roman" w:cs="Times New Roman"/>
        </w:rPr>
        <w:t xml:space="preserve"> </w:t>
      </w:r>
      <w:proofErr w:type="spellStart"/>
      <w:r w:rsidRPr="00D73987">
        <w:rPr>
          <w:rFonts w:ascii="Times New Roman" w:hAnsi="Times New Roman" w:cs="Times New Roman"/>
        </w:rPr>
        <w:t>Saeedi</w:t>
      </w:r>
      <w:proofErr w:type="spellEnd"/>
      <w:r w:rsidRPr="00D73987">
        <w:rPr>
          <w:rFonts w:ascii="Times New Roman" w:hAnsi="Times New Roman" w:cs="Times New Roman"/>
        </w:rPr>
        <w:t xml:space="preserve"> emerges as an accomplished Senior Assistant Psychologist in NHS whose scholarly pursuits and research </w:t>
      </w:r>
      <w:proofErr w:type="spellStart"/>
      <w:r w:rsidRPr="00D73987">
        <w:rPr>
          <w:rFonts w:ascii="Times New Roman" w:hAnsi="Times New Roman" w:cs="Times New Roman"/>
        </w:rPr>
        <w:t>endeavours</w:t>
      </w:r>
      <w:proofErr w:type="spellEnd"/>
      <w:r w:rsidRPr="00D73987">
        <w:rPr>
          <w:rFonts w:ascii="Times New Roman" w:hAnsi="Times New Roman" w:cs="Times New Roman"/>
        </w:rPr>
        <w:t xml:space="preserve"> have garnered her prominent recognition within the contemporary psychological discourse. Her scholarly portfolio encompasses a diverse array of seminal contributions, ranging from illuminating the multifaceted dynamics of the “placebo effect's impact on mental health” to uncovering neural correlates of pain perception. Leveraging her academic prowess and pragmatic proficiency, </w:t>
      </w:r>
      <w:proofErr w:type="spellStart"/>
      <w:r w:rsidRPr="00D73987">
        <w:rPr>
          <w:rFonts w:ascii="Times New Roman" w:hAnsi="Times New Roman" w:cs="Times New Roman"/>
        </w:rPr>
        <w:t>Madeena</w:t>
      </w:r>
      <w:proofErr w:type="spellEnd"/>
      <w:r w:rsidRPr="00D73987">
        <w:rPr>
          <w:rFonts w:ascii="Times New Roman" w:hAnsi="Times New Roman" w:cs="Times New Roman"/>
        </w:rPr>
        <w:t xml:space="preserve"> adeptly applies her comprehensive training in psychological therapies to diverse populations, including individuals dealing with schizophrenia, ADHD, autism, and geriatric dementia. This seamless integration of theoretical insight and pragmatic application positions </w:t>
      </w:r>
      <w:proofErr w:type="spellStart"/>
      <w:r w:rsidRPr="00D73987">
        <w:rPr>
          <w:rFonts w:ascii="Times New Roman" w:hAnsi="Times New Roman" w:cs="Times New Roman"/>
        </w:rPr>
        <w:t>Madeena</w:t>
      </w:r>
      <w:proofErr w:type="spellEnd"/>
      <w:r w:rsidRPr="00D73987">
        <w:rPr>
          <w:rFonts w:ascii="Times New Roman" w:hAnsi="Times New Roman" w:cs="Times New Roman"/>
        </w:rPr>
        <w:t xml:space="preserve"> </w:t>
      </w:r>
      <w:proofErr w:type="spellStart"/>
      <w:r w:rsidRPr="00D73987">
        <w:rPr>
          <w:rFonts w:ascii="Times New Roman" w:hAnsi="Times New Roman" w:cs="Times New Roman"/>
        </w:rPr>
        <w:t>Saeedi</w:t>
      </w:r>
      <w:proofErr w:type="spellEnd"/>
      <w:r w:rsidRPr="00D73987">
        <w:rPr>
          <w:rFonts w:ascii="Times New Roman" w:hAnsi="Times New Roman" w:cs="Times New Roman"/>
        </w:rPr>
        <w:t xml:space="preserve"> as a consummate scholar-practitioner poised to make significant contributions to the growing field of clinical psychology.</w:t>
      </w:r>
    </w:p>
    <w:p w14:paraId="38D803ED" w14:textId="77777777" w:rsidR="00D73987" w:rsidRPr="00D73987" w:rsidRDefault="00D73987" w:rsidP="00D73987">
      <w:pPr>
        <w:spacing w:before="92"/>
        <w:ind w:right="4234"/>
        <w:jc w:val="center"/>
        <w:rPr>
          <w:rFonts w:ascii="Times New Roman" w:hAnsi="Times New Roman" w:cs="Times New Roman"/>
          <w:sz w:val="24"/>
          <w:szCs w:val="24"/>
        </w:rPr>
      </w:pPr>
    </w:p>
    <w:p w14:paraId="63A51DFF" w14:textId="77777777" w:rsidR="00D73987" w:rsidRPr="00D73987" w:rsidRDefault="00D73987" w:rsidP="00D73987">
      <w:pPr>
        <w:jc w:val="center"/>
        <w:rPr>
          <w:rFonts w:ascii="Times New Roman" w:hAnsi="Times New Roman" w:cs="Times New Roman"/>
          <w:sz w:val="24"/>
          <w:szCs w:val="24"/>
        </w:rPr>
      </w:pPr>
      <w:r w:rsidRPr="00D73987">
        <w:rPr>
          <w:rFonts w:ascii="Times New Roman" w:hAnsi="Times New Roman" w:cs="Times New Roman"/>
          <w:sz w:val="24"/>
          <w:szCs w:val="24"/>
        </w:rPr>
        <w:t>Email: madeena.saeedi@yahoo.com</w:t>
      </w:r>
    </w:p>
    <w:p w14:paraId="162FE337" w14:textId="2EA2EFC2" w:rsidR="00AE3E37" w:rsidRDefault="00AE3E37">
      <w:pPr>
        <w:spacing w:before="62"/>
        <w:ind w:left="4217" w:right="4235"/>
        <w:jc w:val="center"/>
        <w:rPr>
          <w:rFonts w:ascii="Arial"/>
          <w:sz w:val="14"/>
        </w:rPr>
      </w:pPr>
    </w:p>
    <w:p w14:paraId="462C635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2CD617B" wp14:editId="7C21A73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07E3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FECAAF9" w14:textId="77777777" w:rsidR="00AE3E37" w:rsidRDefault="00AE3E37">
      <w:pPr>
        <w:pStyle w:val="BodyText"/>
        <w:rPr>
          <w:rFonts w:ascii="Arial"/>
          <w:sz w:val="20"/>
        </w:rPr>
      </w:pPr>
    </w:p>
    <w:p w14:paraId="2567D12D" w14:textId="77777777" w:rsidR="00AE3E37" w:rsidRDefault="00AE3E37">
      <w:pPr>
        <w:pStyle w:val="BodyText"/>
        <w:rPr>
          <w:rFonts w:ascii="Arial"/>
          <w:sz w:val="20"/>
        </w:rPr>
      </w:pPr>
    </w:p>
    <w:p w14:paraId="1AD0601A" w14:textId="77777777" w:rsidR="00AE3E37" w:rsidRDefault="00AE3E37">
      <w:pPr>
        <w:pStyle w:val="BodyText"/>
        <w:spacing w:before="7"/>
        <w:rPr>
          <w:rFonts w:ascii="Arial"/>
          <w:sz w:val="29"/>
        </w:rPr>
      </w:pPr>
    </w:p>
    <w:p w14:paraId="47037420" w14:textId="77777777" w:rsidR="00AE3E37" w:rsidRPr="00B21A57" w:rsidRDefault="00A9710C">
      <w:pPr>
        <w:spacing w:before="39"/>
        <w:ind w:left="100"/>
        <w:rPr>
          <w:rFonts w:ascii="Minion Pro"/>
          <w:b/>
          <w:sz w:val="20"/>
        </w:rPr>
      </w:pPr>
      <w:r w:rsidRPr="00B21A57">
        <w:rPr>
          <w:rFonts w:ascii="Minion Pro"/>
          <w:b/>
          <w:sz w:val="20"/>
        </w:rPr>
        <w:t>Notes/Comments:</w:t>
      </w:r>
    </w:p>
    <w:p w14:paraId="6A8ACFA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A4E412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0ACB" w14:textId="77777777" w:rsidR="00C40CD2" w:rsidRDefault="00C40CD2">
      <w:r>
        <w:separator/>
      </w:r>
    </w:p>
  </w:endnote>
  <w:endnote w:type="continuationSeparator" w:id="0">
    <w:p w14:paraId="0E6EBEDF" w14:textId="77777777" w:rsidR="00C40CD2" w:rsidRDefault="00C40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F9D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DC83DA9" wp14:editId="75F24CC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D7B9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8B5D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83DA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5C4D7B9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8B5D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78DDC3" wp14:editId="16E06FC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97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A829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8DDC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11E97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A829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B2C514D" wp14:editId="2E37B9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22D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3206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C514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56D22D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3206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ACE40" w14:textId="77777777" w:rsidR="00C40CD2" w:rsidRDefault="00C40CD2">
      <w:r>
        <w:separator/>
      </w:r>
    </w:p>
  </w:footnote>
  <w:footnote w:type="continuationSeparator" w:id="0">
    <w:p w14:paraId="206329DF" w14:textId="77777777" w:rsidR="00C40CD2" w:rsidRDefault="00C40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9EEE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5855A04" wp14:editId="77DB36F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3563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855A0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2AC3563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FD8E166" wp14:editId="2E4BD21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77F6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DBEC88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8E16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1E577F6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DBEC88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16107306">
    <w:abstractNumId w:val="0"/>
  </w:num>
  <w:num w:numId="2" w16cid:durableId="1146507416">
    <w:abstractNumId w:val="1"/>
  </w:num>
  <w:num w:numId="3" w16cid:durableId="103785395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26EC"/>
    <w:rsid w:val="001E763C"/>
    <w:rsid w:val="00292ED9"/>
    <w:rsid w:val="00314AFB"/>
    <w:rsid w:val="003B76D9"/>
    <w:rsid w:val="00404E5B"/>
    <w:rsid w:val="00414F7B"/>
    <w:rsid w:val="004355DC"/>
    <w:rsid w:val="004749B4"/>
    <w:rsid w:val="00494130"/>
    <w:rsid w:val="004C6656"/>
    <w:rsid w:val="004F3523"/>
    <w:rsid w:val="005973B9"/>
    <w:rsid w:val="005B3A56"/>
    <w:rsid w:val="006060CE"/>
    <w:rsid w:val="0063497F"/>
    <w:rsid w:val="007003F2"/>
    <w:rsid w:val="0078738A"/>
    <w:rsid w:val="00873DF0"/>
    <w:rsid w:val="008756E6"/>
    <w:rsid w:val="009B2D44"/>
    <w:rsid w:val="00A07E82"/>
    <w:rsid w:val="00A9710C"/>
    <w:rsid w:val="00AE31E6"/>
    <w:rsid w:val="00AE3E37"/>
    <w:rsid w:val="00B21A57"/>
    <w:rsid w:val="00C33602"/>
    <w:rsid w:val="00C40CD2"/>
    <w:rsid w:val="00CC6B4A"/>
    <w:rsid w:val="00CD6F55"/>
    <w:rsid w:val="00D62425"/>
    <w:rsid w:val="00D73987"/>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B9A06"/>
  <w15:docId w15:val="{48184844-2CD2-4F35-9851-E316B5D93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doi.org/10.31838/ijpr/2021.13.03.016"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Madeena Saeedi</cp:lastModifiedBy>
  <cp:revision>3</cp:revision>
  <dcterms:created xsi:type="dcterms:W3CDTF">2023-08-22T18:20:00Z</dcterms:created>
  <dcterms:modified xsi:type="dcterms:W3CDTF">2023-08-22T18:20:00Z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