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7D11C" w14:textId="1CD00487" w:rsidR="00AE3E37" w:rsidRDefault="006A3452" w:rsidP="00494130">
      <w:pPr>
        <w:pStyle w:val="Heading1"/>
        <w:spacing w:before="170"/>
        <w:ind w:left="0"/>
      </w:pPr>
      <w:r>
        <w:rPr>
          <w:color w:val="337AB7"/>
        </w:rPr>
        <w:t xml:space="preserve">The </w:t>
      </w:r>
      <w:r w:rsidR="003B2613">
        <w:rPr>
          <w:color w:val="337AB7"/>
        </w:rPr>
        <w:t>Little Prince: The Big Lesson</w:t>
      </w:r>
      <w:bookmarkStart w:id="0" w:name="_GoBack"/>
      <w:bookmarkEnd w:id="0"/>
    </w:p>
    <w:p w14:paraId="2D68BBD5" w14:textId="7EDD5597" w:rsidR="005973B9" w:rsidRDefault="002201B1" w:rsidP="002201B1">
      <w:pPr>
        <w:pStyle w:val="BodyText"/>
        <w:spacing w:before="73" w:line="198" w:lineRule="exact"/>
        <w:ind w:left="100" w:right="5987"/>
        <w:rPr>
          <w:rFonts w:ascii="Arial"/>
        </w:rPr>
      </w:pPr>
      <w:r>
        <w:rPr>
          <w:rFonts w:ascii="Arial"/>
        </w:rPr>
        <w:t>Mr. Vineet Gairola</w:t>
      </w:r>
    </w:p>
    <w:p w14:paraId="0C2985F5" w14:textId="75B84D60" w:rsidR="002201B1" w:rsidRDefault="002201B1" w:rsidP="002201B1">
      <w:pPr>
        <w:pStyle w:val="BodyText"/>
        <w:spacing w:before="73" w:line="198" w:lineRule="exact"/>
        <w:ind w:left="100" w:right="5987"/>
        <w:rPr>
          <w:rFonts w:ascii="Arial"/>
        </w:rPr>
      </w:pPr>
      <w:r>
        <w:rPr>
          <w:rFonts w:ascii="Arial"/>
        </w:rPr>
        <w:t>Ambedkar University Delhi</w:t>
      </w:r>
    </w:p>
    <w:p w14:paraId="25FAA8FB" w14:textId="77777777" w:rsidR="00AE3E37" w:rsidRDefault="00AE3E37">
      <w:pPr>
        <w:pStyle w:val="BodyText"/>
        <w:rPr>
          <w:rFonts w:ascii="Arial"/>
          <w:sz w:val="20"/>
        </w:rPr>
      </w:pPr>
    </w:p>
    <w:p w14:paraId="1C316D6B" w14:textId="77777777" w:rsidR="00AE3E37" w:rsidRDefault="00AE3E37">
      <w:pPr>
        <w:pStyle w:val="BodyText"/>
        <w:spacing w:before="3"/>
        <w:rPr>
          <w:rFonts w:ascii="Arial"/>
          <w:sz w:val="21"/>
        </w:rPr>
      </w:pPr>
    </w:p>
    <w:p w14:paraId="2F3F593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C4F8248" w14:textId="1A8B27FC" w:rsidR="00AE3E37" w:rsidRDefault="00A9710C">
      <w:pPr>
        <w:pStyle w:val="Heading3"/>
        <w:spacing w:before="147"/>
        <w:jc w:val="both"/>
      </w:pPr>
      <w:r>
        <w:rPr>
          <w:color w:val="BF5A14"/>
        </w:rPr>
        <w:t>Abstract</w:t>
      </w:r>
      <w:r w:rsidR="00404E5B">
        <w:rPr>
          <w:color w:val="BF5A14"/>
        </w:rPr>
        <w:t xml:space="preserve"> </w:t>
      </w:r>
    </w:p>
    <w:p w14:paraId="275A420B" w14:textId="76F75415" w:rsidR="00D14D2F" w:rsidRPr="00D14D2F" w:rsidRDefault="00D14D2F" w:rsidP="00D14D2F">
      <w:pPr>
        <w:pStyle w:val="Heading3"/>
        <w:spacing w:before="74"/>
        <w:rPr>
          <w:rFonts w:ascii="Tw Cen MT" w:eastAsia="Tw Cen MT" w:hAnsi="Tw Cen MT" w:cs="Tw Cen MT"/>
          <w:b w:val="0"/>
          <w:bCs w:val="0"/>
          <w:sz w:val="18"/>
          <w:szCs w:val="18"/>
        </w:rPr>
      </w:pPr>
      <w:r w:rsidRPr="00D14D2F">
        <w:rPr>
          <w:rFonts w:ascii="Tw Cen MT" w:eastAsia="Tw Cen MT" w:hAnsi="Tw Cen MT" w:cs="Tw Cen MT"/>
          <w:b w:val="0"/>
          <w:bCs w:val="0"/>
          <w:sz w:val="18"/>
          <w:szCs w:val="18"/>
        </w:rPr>
        <w:t xml:space="preserve">The Little Prince, a theoretical parable </w:t>
      </w:r>
      <w:proofErr w:type="gramStart"/>
      <w:r w:rsidRPr="00D14D2F">
        <w:rPr>
          <w:rFonts w:ascii="Tw Cen MT" w:eastAsia="Tw Cen MT" w:hAnsi="Tw Cen MT" w:cs="Tw Cen MT"/>
          <w:b w:val="0"/>
          <w:bCs w:val="0"/>
          <w:sz w:val="18"/>
          <w:szCs w:val="18"/>
        </w:rPr>
        <w:t>in itself is</w:t>
      </w:r>
      <w:proofErr w:type="gramEnd"/>
      <w:r w:rsidRPr="00D14D2F">
        <w:rPr>
          <w:rFonts w:ascii="Tw Cen MT" w:eastAsia="Tw Cen MT" w:hAnsi="Tw Cen MT" w:cs="Tw Cen MT"/>
          <w:b w:val="0"/>
          <w:bCs w:val="0"/>
          <w:sz w:val="18"/>
          <w:szCs w:val="18"/>
        </w:rPr>
        <w:t xml:space="preserve"> capable of evoking emotions related to oneself and societal fabric of existence in an eloquent manner. This research paper talks about The Little Prince in terms of childhood, identity, and society in the Indian context. How being busy is in modern times confounded with being productive is questioned in this paper. The notion of development is problematized. It is to understand that a child is not something to be raised. Only learning from experience, freedom, and responsibility is to be fostered. The way of Little Prince is not philosophy. His way of life is philosia where philo means love and ousia means truth. The Little Prince reminds us that truth is not an escape—it is the awareness of escape one lives. It is to note that childhood as a cultural construction comes out to be a human choice and consciousness of childhood comes out to be cultural. Much of childhood remains un-understood in playing and balancing the cathartic thread of psychoanalysis, culture, and society. Through a psychosocial lens, this paper sheds light on how something which is hidden is always hyper present, presenting itself by showing what it shows. </w:t>
      </w:r>
    </w:p>
    <w:p w14:paraId="6CF2B8E1" w14:textId="4CA45A24" w:rsidR="00AE3E37" w:rsidRDefault="00D14D2F" w:rsidP="00D14D2F">
      <w:pPr>
        <w:pStyle w:val="Heading3"/>
        <w:spacing w:before="74"/>
      </w:pPr>
      <w:r w:rsidRPr="00D14D2F">
        <w:rPr>
          <w:rFonts w:ascii="Tw Cen MT" w:eastAsia="Tw Cen MT" w:hAnsi="Tw Cen MT" w:cs="Tw Cen MT"/>
          <w:i/>
          <w:iCs/>
          <w:sz w:val="18"/>
          <w:szCs w:val="18"/>
        </w:rPr>
        <w:t>Keywords:</w:t>
      </w:r>
      <w:r w:rsidRPr="00D14D2F">
        <w:rPr>
          <w:rFonts w:ascii="Tw Cen MT" w:eastAsia="Tw Cen MT" w:hAnsi="Tw Cen MT" w:cs="Tw Cen MT"/>
          <w:b w:val="0"/>
          <w:bCs w:val="0"/>
          <w:sz w:val="18"/>
          <w:szCs w:val="18"/>
        </w:rPr>
        <w:t xml:space="preserve"> The Little Prince, childhood, identity, society, development </w:t>
      </w:r>
      <w:r w:rsidR="00A9710C">
        <w:rPr>
          <w:b w:val="0"/>
        </w:rPr>
        <w:br w:type="column"/>
      </w:r>
    </w:p>
    <w:p w14:paraId="36AB8A8C" w14:textId="2A047D76" w:rsidR="00AE3E37" w:rsidRDefault="00AE3E37">
      <w:pPr>
        <w:pStyle w:val="BodyText"/>
        <w:spacing w:before="2"/>
        <w:rPr>
          <w:rFonts w:ascii="Arial"/>
          <w:b/>
          <w:sz w:val="16"/>
        </w:rPr>
      </w:pPr>
    </w:p>
    <w:p w14:paraId="6DEEF72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F7752B4" w14:textId="77777777" w:rsidR="00643A3D" w:rsidRDefault="00643A3D" w:rsidP="00643A3D">
      <w:pPr>
        <w:pStyle w:val="BodyText"/>
        <w:numPr>
          <w:ilvl w:val="0"/>
          <w:numId w:val="3"/>
        </w:numPr>
        <w:spacing w:before="85" w:line="216" w:lineRule="exact"/>
        <w:ind w:right="138"/>
        <w:jc w:val="both"/>
        <w:rPr>
          <w:rFonts w:ascii="Calibri" w:eastAsia="Calibri" w:hAnsi="Calibri" w:cs="Calibri"/>
          <w:szCs w:val="22"/>
        </w:rPr>
      </w:pPr>
      <w:r w:rsidRPr="001479C4">
        <w:rPr>
          <w:rFonts w:ascii="Calibri" w:eastAsia="Calibri" w:hAnsi="Calibri" w:cs="Calibri"/>
          <w:szCs w:val="22"/>
        </w:rPr>
        <w:t>Gairola, V. (2020, May 28-30). Uttarakhand as a research field. Paper presented at 5th Annual International Conference on Spirituality and Psychology: Tomorrow People Organization, Bali, Indonesia (Happened virtually).</w:t>
      </w:r>
    </w:p>
    <w:p w14:paraId="4FACA9F8" w14:textId="567EBDCC" w:rsidR="00643A3D" w:rsidRDefault="00643A3D" w:rsidP="00643A3D">
      <w:pPr>
        <w:pStyle w:val="BodyText"/>
        <w:numPr>
          <w:ilvl w:val="0"/>
          <w:numId w:val="3"/>
        </w:numPr>
        <w:spacing w:before="85" w:line="216" w:lineRule="exact"/>
        <w:ind w:right="138"/>
        <w:jc w:val="both"/>
        <w:rPr>
          <w:rFonts w:ascii="Calibri" w:eastAsia="Calibri" w:hAnsi="Calibri" w:cs="Calibri"/>
          <w:szCs w:val="22"/>
        </w:rPr>
      </w:pPr>
      <w:r w:rsidRPr="001479C4">
        <w:rPr>
          <w:rFonts w:ascii="Calibri" w:eastAsia="Calibri" w:hAnsi="Calibri" w:cs="Calibri"/>
          <w:szCs w:val="22"/>
        </w:rPr>
        <w:t xml:space="preserve"> </w:t>
      </w:r>
      <w:r w:rsidRPr="008A10FB">
        <w:rPr>
          <w:rFonts w:ascii="Calibri" w:eastAsia="Calibri" w:hAnsi="Calibri" w:cs="Calibri"/>
          <w:szCs w:val="22"/>
        </w:rPr>
        <w:t xml:space="preserve">Gairola, V. (2019, September 13-15). Ḍhol-Damauñ and Devī Devtās of Uttarakhand: From routes to roots. Paper presented at Fortis Third Annual Psychology Conference on Exploring the Psychosocial Realm in Psychology: A Multi-Faceted Approach: Fortis Memorial Research Institute, Gurugram, Haryana. </w:t>
      </w:r>
    </w:p>
    <w:p w14:paraId="682F08F3" w14:textId="454A4EDE" w:rsidR="00643A3D" w:rsidRPr="00643A3D" w:rsidRDefault="00643A3D" w:rsidP="00643A3D">
      <w:pPr>
        <w:pStyle w:val="BodyText"/>
        <w:numPr>
          <w:ilvl w:val="0"/>
          <w:numId w:val="3"/>
        </w:numPr>
        <w:spacing w:before="85" w:line="216" w:lineRule="exact"/>
        <w:ind w:right="138"/>
        <w:jc w:val="both"/>
        <w:rPr>
          <w:rFonts w:ascii="Calibri" w:hAnsi="Calibri"/>
        </w:rPr>
      </w:pPr>
      <w:r w:rsidRPr="004C1476">
        <w:rPr>
          <w:rFonts w:ascii="Calibri" w:hAnsi="Calibri"/>
        </w:rPr>
        <w:t xml:space="preserve">Gairola, V., &amp; Mishra, P. K. (2019). An overview of school climate and student outcomes in the Indian Context. </w:t>
      </w:r>
      <w:r w:rsidRPr="008A10FB">
        <w:rPr>
          <w:rFonts w:ascii="Calibri" w:hAnsi="Calibri"/>
        </w:rPr>
        <w:t>Anweshan: Journal of Education</w:t>
      </w:r>
      <w:r w:rsidRPr="004C1476">
        <w:rPr>
          <w:rFonts w:ascii="Calibri" w:hAnsi="Calibri"/>
        </w:rPr>
        <w:t xml:space="preserve">, </w:t>
      </w:r>
      <w:r w:rsidRPr="008A10FB">
        <w:rPr>
          <w:rFonts w:ascii="Calibri" w:hAnsi="Calibri"/>
        </w:rPr>
        <w:t>10</w:t>
      </w:r>
      <w:r w:rsidRPr="004C1476">
        <w:rPr>
          <w:rFonts w:ascii="Calibri" w:hAnsi="Calibri"/>
        </w:rPr>
        <w:t>(1), pp. 33-49.</w:t>
      </w:r>
    </w:p>
    <w:p w14:paraId="0F3B7AF6" w14:textId="77777777" w:rsidR="00D14D2F" w:rsidRDefault="00D14D2F" w:rsidP="00B9096F">
      <w:pPr>
        <w:pStyle w:val="BodyText"/>
        <w:numPr>
          <w:ilvl w:val="0"/>
          <w:numId w:val="3"/>
        </w:numPr>
        <w:spacing w:before="85" w:line="216" w:lineRule="exact"/>
        <w:ind w:right="138"/>
        <w:jc w:val="both"/>
        <w:rPr>
          <w:rFonts w:ascii="Calibri" w:eastAsia="Calibri" w:hAnsi="Calibri" w:cs="Calibri"/>
          <w:szCs w:val="22"/>
        </w:rPr>
      </w:pPr>
      <w:r w:rsidRPr="00D14D2F">
        <w:rPr>
          <w:rFonts w:ascii="Calibri" w:eastAsia="Calibri" w:hAnsi="Calibri" w:cs="Calibri"/>
          <w:szCs w:val="22"/>
        </w:rPr>
        <w:t xml:space="preserve">Saint-Exupéry, A. (2011). The little prince. New Delhi: General Book Depot. </w:t>
      </w:r>
    </w:p>
    <w:p w14:paraId="51D01E85" w14:textId="77F7036D" w:rsidR="00AE3E37" w:rsidRPr="008756E6" w:rsidRDefault="00D14D2F" w:rsidP="00D14D2F">
      <w:pPr>
        <w:pStyle w:val="BodyText"/>
        <w:numPr>
          <w:ilvl w:val="0"/>
          <w:numId w:val="3"/>
        </w:numPr>
        <w:spacing w:before="85" w:line="216" w:lineRule="exact"/>
        <w:ind w:right="138"/>
        <w:jc w:val="both"/>
      </w:pPr>
      <w:r w:rsidRPr="00D14D2F">
        <w:rPr>
          <w:rFonts w:ascii="Calibri" w:eastAsia="Calibri" w:hAnsi="Calibri" w:cs="Calibri"/>
          <w:szCs w:val="22"/>
        </w:rPr>
        <w:t>Uberoi, P. (2009) Freedom and destiny: Gender, family and popular culture in India. Oxford: Oxford University Press, pp. 85-105.</w:t>
      </w:r>
    </w:p>
    <w:p w14:paraId="382FA5F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6FFB44D" w14:textId="77D31980" w:rsidR="00AE3E37" w:rsidRPr="00D62425" w:rsidRDefault="00D62425">
      <w:pPr>
        <w:pStyle w:val="BodyText"/>
        <w:rPr>
          <w:rFonts w:ascii="Calibri"/>
          <w:b/>
          <w:sz w:val="20"/>
        </w:rPr>
      </w:pPr>
      <w:r>
        <w:rPr>
          <w:rFonts w:ascii="Calibri"/>
          <w:sz w:val="20"/>
        </w:rPr>
        <w:t xml:space="preserve">                 </w:t>
      </w:r>
      <w:r w:rsidR="00643A3D">
        <w:rPr>
          <w:rFonts w:ascii="Calibri"/>
          <w:sz w:val="20"/>
        </w:rPr>
        <w:t xml:space="preserve">   </w:t>
      </w:r>
      <w:r w:rsidRPr="00D62425">
        <w:rPr>
          <w:rFonts w:ascii="Calibri"/>
          <w:b/>
          <w:sz w:val="20"/>
        </w:rPr>
        <w:t>Photograph</w:t>
      </w:r>
    </w:p>
    <w:p w14:paraId="6AB4BC3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D3B5493" wp14:editId="5828541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9EA3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A4BC48" w14:textId="1F380DA4" w:rsidR="00AE3E37" w:rsidRDefault="008756E6" w:rsidP="00404E5B">
      <w:pPr>
        <w:spacing w:before="92"/>
        <w:ind w:right="4234"/>
        <w:rPr>
          <w:rFonts w:ascii="Arial"/>
        </w:rPr>
      </w:pPr>
      <w:r>
        <w:rPr>
          <w:noProof/>
        </w:rPr>
        <w:t xml:space="preserve">              </w:t>
      </w:r>
      <w:r w:rsidR="00680360">
        <w:rPr>
          <w:rFonts w:ascii="Arial"/>
          <w:noProof/>
          <w:color w:val="BF5A14"/>
        </w:rPr>
        <w:drawing>
          <wp:inline distT="0" distB="0" distL="0" distR="0" wp14:anchorId="48674715" wp14:editId="21CBBBAF">
            <wp:extent cx="723900" cy="7556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755650"/>
                    </a:xfrm>
                    <a:prstGeom prst="rect">
                      <a:avLst/>
                    </a:prstGeom>
                    <a:noFill/>
                    <a:ln>
                      <a:noFill/>
                    </a:ln>
                  </pic:spPr>
                </pic:pic>
              </a:graphicData>
            </a:graphic>
          </wp:inline>
        </w:drawing>
      </w:r>
      <w:r w:rsidR="00012BBE">
        <w:rPr>
          <w:noProof/>
        </w:rPr>
        <w:t xml:space="preserve"> </w:t>
      </w:r>
      <w:r w:rsidR="00A9710C">
        <w:rPr>
          <w:rFonts w:ascii="Arial"/>
          <w:color w:val="BF5A14"/>
        </w:rPr>
        <w:t>Biography</w:t>
      </w:r>
      <w:r w:rsidR="00404E5B">
        <w:rPr>
          <w:rFonts w:ascii="Arial"/>
          <w:color w:val="BF5A14"/>
        </w:rPr>
        <w:t xml:space="preserve"> </w:t>
      </w:r>
    </w:p>
    <w:p w14:paraId="74D7E221" w14:textId="6A41693D" w:rsidR="00AE3E37" w:rsidRDefault="000133E9">
      <w:pPr>
        <w:spacing w:before="41" w:line="154" w:lineRule="exact"/>
        <w:ind w:left="213" w:right="231"/>
        <w:jc w:val="both"/>
        <w:rPr>
          <w:rFonts w:ascii="Arial"/>
          <w:sz w:val="14"/>
        </w:rPr>
      </w:pPr>
      <w:r w:rsidRPr="000133E9">
        <w:rPr>
          <w:rFonts w:ascii="Arial"/>
          <w:sz w:val="14"/>
        </w:rPr>
        <w:t xml:space="preserve">Vineet Gairola is working as an Adjunct Faculty of Psychology at Ambedkar University, Delhi. Earlier, he was associated as a Research Assistant in in the Department of Educational Psychology and Foundations of Education, NCERT, New Delhi. He is UGC-NET JRF qualified in Psychology with 99.78 percentile. His research interests focus on cultural psychology, music psychology, and correspondence between spirituality, psychopathology, and analytical psychology. He is a regular participant as a researcher in conferences organized across India and abroad. His work has appeared on Anweshan: Journal of Education, The Hindu Edge, BrainFeed Higher Education Plus, and Internshala Blog. </w:t>
      </w:r>
    </w:p>
    <w:p w14:paraId="6A6F3A60" w14:textId="77777777" w:rsidR="0018788C" w:rsidRDefault="0018788C">
      <w:pPr>
        <w:spacing w:before="41" w:line="154" w:lineRule="exact"/>
        <w:ind w:left="213" w:right="231"/>
        <w:jc w:val="both"/>
        <w:rPr>
          <w:rFonts w:ascii="Arial"/>
          <w:sz w:val="14"/>
        </w:rPr>
      </w:pPr>
    </w:p>
    <w:p w14:paraId="190B133D" w14:textId="6E426017" w:rsidR="00AE3E37" w:rsidRDefault="00A9710C">
      <w:pPr>
        <w:spacing w:before="62"/>
        <w:ind w:left="4217" w:right="4235"/>
        <w:jc w:val="center"/>
        <w:rPr>
          <w:rFonts w:ascii="Arial"/>
          <w:sz w:val="14"/>
        </w:rPr>
      </w:pPr>
      <w:r>
        <w:rPr>
          <w:rFonts w:ascii="Arial"/>
          <w:sz w:val="14"/>
        </w:rPr>
        <w:t xml:space="preserve">Email: </w:t>
      </w:r>
      <w:hyperlink r:id="rId10" w:history="1">
        <w:r w:rsidR="000133E9" w:rsidRPr="00F64952">
          <w:rPr>
            <w:rStyle w:val="Hyperlink"/>
            <w:rFonts w:ascii="Arial"/>
            <w:sz w:val="14"/>
          </w:rPr>
          <w:t>vineetworkz@gmail.com</w:t>
        </w:r>
      </w:hyperlink>
    </w:p>
    <w:p w14:paraId="58EDB96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4E5E762" wp14:editId="02EA40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F0E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2EE0DF1" w14:textId="77777777" w:rsidR="00AE3E37" w:rsidRDefault="00AE3E37">
      <w:pPr>
        <w:pStyle w:val="BodyText"/>
        <w:rPr>
          <w:rFonts w:ascii="Arial"/>
          <w:sz w:val="20"/>
        </w:rPr>
      </w:pPr>
    </w:p>
    <w:p w14:paraId="71999D81" w14:textId="77777777" w:rsidR="00AE3E37" w:rsidRDefault="00AE3E37">
      <w:pPr>
        <w:pStyle w:val="BodyText"/>
        <w:rPr>
          <w:rFonts w:ascii="Arial"/>
          <w:sz w:val="20"/>
        </w:rPr>
      </w:pPr>
    </w:p>
    <w:p w14:paraId="2D3C5E97" w14:textId="77777777" w:rsidR="00AE3E37" w:rsidRDefault="00AE3E37">
      <w:pPr>
        <w:pStyle w:val="BodyText"/>
        <w:spacing w:before="7"/>
        <w:rPr>
          <w:rFonts w:ascii="Arial"/>
          <w:sz w:val="29"/>
        </w:rPr>
      </w:pPr>
    </w:p>
    <w:p w14:paraId="0005A319" w14:textId="77777777" w:rsidR="00AE3E37" w:rsidRPr="00B21A57" w:rsidRDefault="00A9710C">
      <w:pPr>
        <w:spacing w:before="39"/>
        <w:ind w:left="100"/>
        <w:rPr>
          <w:rFonts w:ascii="Minion Pro"/>
          <w:b/>
          <w:sz w:val="20"/>
        </w:rPr>
      </w:pPr>
      <w:r w:rsidRPr="00B21A57">
        <w:rPr>
          <w:rFonts w:ascii="Minion Pro"/>
          <w:b/>
          <w:sz w:val="20"/>
        </w:rPr>
        <w:t>Notes/Comments:</w:t>
      </w:r>
    </w:p>
    <w:p w14:paraId="734E9A3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97E5F2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263FE" w14:textId="77777777" w:rsidR="00AB7D0E" w:rsidRDefault="00AB7D0E">
      <w:r>
        <w:separator/>
      </w:r>
    </w:p>
  </w:endnote>
  <w:endnote w:type="continuationSeparator" w:id="0">
    <w:p w14:paraId="2F8415E1" w14:textId="77777777" w:rsidR="00AB7D0E" w:rsidRDefault="00AB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271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1FF4D1C" wp14:editId="4A3E0E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71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D5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F4D1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41716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D583A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9CE84B1" wp14:editId="12C54C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2C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AD9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E84B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232C7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AD9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20076D" wp14:editId="05C9A7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702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5700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0076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5F9702E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5700C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D15F71" w14:textId="77777777" w:rsidR="00AB7D0E" w:rsidRDefault="00AB7D0E">
      <w:r>
        <w:separator/>
      </w:r>
    </w:p>
  </w:footnote>
  <w:footnote w:type="continuationSeparator" w:id="0">
    <w:p w14:paraId="4A2907A8" w14:textId="77777777" w:rsidR="00AB7D0E" w:rsidRDefault="00AB7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7502544"/>
      <w:docPartObj>
        <w:docPartGallery w:val="Page Numbers (Top of Page)"/>
        <w:docPartUnique/>
      </w:docPartObj>
    </w:sdtPr>
    <w:sdtEndPr>
      <w:rPr>
        <w:noProof/>
      </w:rPr>
    </w:sdtEndPr>
    <w:sdtContent>
      <w:p w14:paraId="275EE253" w14:textId="489798B0" w:rsidR="0018788C" w:rsidRDefault="001878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8B4A76" w14:textId="0400A24C"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2BBE"/>
    <w:rsid w:val="000133E9"/>
    <w:rsid w:val="000E279C"/>
    <w:rsid w:val="000E2911"/>
    <w:rsid w:val="001263DF"/>
    <w:rsid w:val="001479C4"/>
    <w:rsid w:val="0018788C"/>
    <w:rsid w:val="001E763C"/>
    <w:rsid w:val="002201B1"/>
    <w:rsid w:val="00292ED9"/>
    <w:rsid w:val="00314AFB"/>
    <w:rsid w:val="00322F9A"/>
    <w:rsid w:val="003B2613"/>
    <w:rsid w:val="003B76D9"/>
    <w:rsid w:val="003D38C9"/>
    <w:rsid w:val="00404E5B"/>
    <w:rsid w:val="00414F7B"/>
    <w:rsid w:val="004355DC"/>
    <w:rsid w:val="004749B4"/>
    <w:rsid w:val="00494130"/>
    <w:rsid w:val="004C1476"/>
    <w:rsid w:val="004F3523"/>
    <w:rsid w:val="005033DB"/>
    <w:rsid w:val="005973B9"/>
    <w:rsid w:val="005B3A56"/>
    <w:rsid w:val="006060CE"/>
    <w:rsid w:val="0063497F"/>
    <w:rsid w:val="00643A3D"/>
    <w:rsid w:val="006662FA"/>
    <w:rsid w:val="00680360"/>
    <w:rsid w:val="006A3452"/>
    <w:rsid w:val="0078738A"/>
    <w:rsid w:val="0083582B"/>
    <w:rsid w:val="00873DF0"/>
    <w:rsid w:val="008756E6"/>
    <w:rsid w:val="008A10FB"/>
    <w:rsid w:val="00905130"/>
    <w:rsid w:val="009A2244"/>
    <w:rsid w:val="009B2D44"/>
    <w:rsid w:val="00A07E82"/>
    <w:rsid w:val="00A26382"/>
    <w:rsid w:val="00A9710C"/>
    <w:rsid w:val="00AB7D0E"/>
    <w:rsid w:val="00AE3E37"/>
    <w:rsid w:val="00B21A57"/>
    <w:rsid w:val="00B9096F"/>
    <w:rsid w:val="00C33602"/>
    <w:rsid w:val="00CD6F55"/>
    <w:rsid w:val="00CE4C20"/>
    <w:rsid w:val="00D14D2F"/>
    <w:rsid w:val="00D62425"/>
    <w:rsid w:val="00DD07CA"/>
    <w:rsid w:val="00DE3104"/>
    <w:rsid w:val="00DF2DC1"/>
    <w:rsid w:val="00E4457A"/>
    <w:rsid w:val="00EA5BF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2C8C2"/>
  <w15:docId w15:val="{27058728-3021-4A28-A801-63AB7946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13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ineetworkz@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Gairola, Vinay</cp:lastModifiedBy>
  <cp:revision>26</cp:revision>
  <dcterms:created xsi:type="dcterms:W3CDTF">2016-08-31T13:10:00Z</dcterms:created>
  <dcterms:modified xsi:type="dcterms:W3CDTF">2020-06-15T11:22:00Z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