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827" w:rsidRPr="00F64827" w:rsidRDefault="00F64827" w:rsidP="00F64827">
      <w:pPr>
        <w:pStyle w:val="1"/>
        <w:spacing w:before="170"/>
        <w:ind w:left="0"/>
        <w:rPr>
          <w:color w:val="337AB7"/>
        </w:rPr>
      </w:pPr>
      <w:r w:rsidRPr="00F64827">
        <w:rPr>
          <w:color w:val="337AB7"/>
        </w:rPr>
        <w:t>Lateral septum adenosine A</w:t>
      </w:r>
      <w:r w:rsidRPr="00F64827">
        <w:rPr>
          <w:color w:val="337AB7"/>
          <w:vertAlign w:val="subscript"/>
        </w:rPr>
        <w:t>2A</w:t>
      </w:r>
      <w:r w:rsidRPr="00F64827">
        <w:rPr>
          <w:color w:val="337AB7"/>
        </w:rPr>
        <w:t xml:space="preserve"> receptors control stress-induced depressive-like behaviors via signaling to the hypothalamus and </w:t>
      </w:r>
      <w:proofErr w:type="spellStart"/>
      <w:r w:rsidRPr="00F64827">
        <w:rPr>
          <w:color w:val="337AB7"/>
        </w:rPr>
        <w:t>habenula</w:t>
      </w:r>
      <w:proofErr w:type="spellEnd"/>
    </w:p>
    <w:p w:rsidR="00F64827" w:rsidRDefault="00F64827" w:rsidP="005973B9">
      <w:pPr>
        <w:pStyle w:val="a3"/>
        <w:spacing w:before="73" w:line="198" w:lineRule="exact"/>
        <w:ind w:left="100" w:right="5987"/>
        <w:rPr>
          <w:rFonts w:ascii="Arial" w:eastAsiaTheme="minorEastAsia"/>
          <w:lang w:eastAsia="zh-CN"/>
        </w:rPr>
      </w:pPr>
    </w:p>
    <w:p w:rsidR="0078738A" w:rsidRDefault="0078738A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</w:t>
      </w:r>
      <w:proofErr w:type="spellStart"/>
      <w:r w:rsidR="00F64827" w:rsidRPr="00F64827">
        <w:rPr>
          <w:rFonts w:ascii="Arial"/>
        </w:rPr>
        <w:t>Jiangfan</w:t>
      </w:r>
      <w:proofErr w:type="spellEnd"/>
      <w:r w:rsidR="00F64827" w:rsidRPr="00F64827">
        <w:rPr>
          <w:rFonts w:ascii="Arial"/>
        </w:rPr>
        <w:t xml:space="preserve"> Chen</w:t>
      </w:r>
      <w:r w:rsidR="00F64827">
        <w:rPr>
          <w:rFonts w:ascii="Arial" w:eastAsiaTheme="minorEastAsia" w:hint="eastAsia"/>
          <w:lang w:eastAsia="zh-CN"/>
        </w:rPr>
        <w:t>,</w:t>
      </w:r>
      <w:r w:rsidR="00F64827" w:rsidRPr="00F64827">
        <w:t xml:space="preserve"> </w:t>
      </w:r>
      <w:r w:rsidR="00F64827" w:rsidRPr="00F64827">
        <w:rPr>
          <w:rFonts w:ascii="Arial" w:eastAsiaTheme="minorEastAsia"/>
          <w:lang w:eastAsia="zh-CN"/>
        </w:rPr>
        <w:t>Wenzhou Medical University, China</w:t>
      </w:r>
      <w:r w:rsidR="005973B9">
        <w:rPr>
          <w:rFonts w:ascii="Arial"/>
        </w:rPr>
        <w:t xml:space="preserve"> </w:t>
      </w:r>
    </w:p>
    <w:p w:rsidR="005973B9" w:rsidRPr="00F64827" w:rsidRDefault="0078738A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</w:t>
      </w:r>
      <w:r w:rsidR="00F64827" w:rsidRPr="00F64827">
        <w:rPr>
          <w:rFonts w:ascii="Arial" w:hint="eastAsia"/>
        </w:rPr>
        <w:t xml:space="preserve">Wei </w:t>
      </w:r>
      <w:proofErr w:type="spellStart"/>
      <w:r w:rsidR="00F64827" w:rsidRPr="00F64827">
        <w:rPr>
          <w:rFonts w:ascii="Arial" w:hint="eastAsia"/>
        </w:rPr>
        <w:t>Guo</w:t>
      </w:r>
      <w:proofErr w:type="spellEnd"/>
      <w:r w:rsidR="00F64827" w:rsidRPr="00F64827">
        <w:rPr>
          <w:rFonts w:ascii="Arial" w:hint="eastAsia"/>
        </w:rPr>
        <w:t xml:space="preserve">, </w:t>
      </w:r>
      <w:r w:rsidR="00F64827" w:rsidRPr="00F64827">
        <w:rPr>
          <w:rFonts w:ascii="Arial"/>
        </w:rPr>
        <w:t>Wenzhou Medical University, China</w:t>
      </w:r>
    </w:p>
    <w:p w:rsidR="00F64827" w:rsidRPr="00F64827" w:rsidRDefault="00F64827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 w:rsidRPr="00F64827">
        <w:rPr>
          <w:rFonts w:ascii="Arial" w:hint="eastAsia"/>
        </w:rPr>
        <w:t>Dr</w:t>
      </w:r>
      <w:proofErr w:type="spellEnd"/>
      <w:r w:rsidRPr="00F64827">
        <w:rPr>
          <w:rFonts w:ascii="Arial" w:hint="eastAsia"/>
        </w:rPr>
        <w:t xml:space="preserve"> </w:t>
      </w:r>
      <w:proofErr w:type="spellStart"/>
      <w:r w:rsidRPr="00F64827">
        <w:rPr>
          <w:rFonts w:ascii="Arial" w:hint="eastAsia"/>
        </w:rPr>
        <w:t>Muran</w:t>
      </w:r>
      <w:proofErr w:type="spellEnd"/>
      <w:r w:rsidRPr="00F64827">
        <w:rPr>
          <w:rFonts w:ascii="Arial" w:hint="eastAsia"/>
        </w:rPr>
        <w:t xml:space="preserve"> Wang,</w:t>
      </w:r>
      <w:r w:rsidRPr="00F64827">
        <w:rPr>
          <w:rFonts w:ascii="Arial"/>
        </w:rPr>
        <w:t xml:space="preserve"> Wenzhou Medical University, China</w:t>
      </w:r>
    </w:p>
    <w:p w:rsidR="00F64827" w:rsidRPr="00F64827" w:rsidRDefault="00F64827" w:rsidP="00F64827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 w:eastAsiaTheme="minorEastAsia" w:hint="eastAsia"/>
          <w:lang w:eastAsia="zh-CN"/>
        </w:rPr>
        <w:t>Peijun</w:t>
      </w:r>
      <w:proofErr w:type="spellEnd"/>
      <w:r>
        <w:rPr>
          <w:rFonts w:ascii="Arial" w:eastAsiaTheme="minorEastAsia" w:hint="eastAsia"/>
          <w:lang w:eastAsia="zh-CN"/>
        </w:rPr>
        <w:t xml:space="preserve"> Li</w:t>
      </w:r>
      <w:r w:rsidRPr="00F64827">
        <w:rPr>
          <w:rFonts w:ascii="Arial" w:hint="eastAsia"/>
        </w:rPr>
        <w:t xml:space="preserve">, </w:t>
      </w:r>
      <w:r w:rsidRPr="00F64827">
        <w:rPr>
          <w:rFonts w:ascii="Arial"/>
        </w:rPr>
        <w:t>Wenzhou Medical University, China</w:t>
      </w:r>
    </w:p>
    <w:p w:rsidR="00F64827" w:rsidRPr="00F64827" w:rsidRDefault="00F64827" w:rsidP="00F64827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 w:eastAsiaTheme="minorEastAsia" w:hint="eastAsia"/>
          <w:lang w:eastAsia="zh-CN"/>
        </w:rPr>
        <w:t>Zewen</w:t>
      </w:r>
      <w:proofErr w:type="spellEnd"/>
      <w:r>
        <w:rPr>
          <w:rFonts w:ascii="Arial" w:eastAsiaTheme="minorEastAsia" w:hint="eastAsia"/>
          <w:lang w:eastAsia="zh-CN"/>
        </w:rPr>
        <w:t xml:space="preserve"> Li</w:t>
      </w:r>
      <w:r w:rsidRPr="00F64827">
        <w:rPr>
          <w:rFonts w:ascii="Arial" w:hint="eastAsia"/>
        </w:rPr>
        <w:t xml:space="preserve">, </w:t>
      </w:r>
      <w:r w:rsidRPr="00F64827">
        <w:rPr>
          <w:rFonts w:ascii="Arial"/>
        </w:rPr>
        <w:t>Wenzhou Medical University, China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bookmarkStart w:id="0" w:name="_GoBack"/>
      <w:bookmarkEnd w:id="0"/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F64827" w:rsidP="00F64827">
      <w:pPr>
        <w:pStyle w:val="3"/>
        <w:spacing w:before="74"/>
        <w:jc w:val="both"/>
      </w:pPr>
      <w:r w:rsidRPr="001C1334">
        <w:rPr>
          <w:rFonts w:asciiTheme="minorHAnsi" w:eastAsia="Tw Cen MT" w:hAnsiTheme="minorHAnsi" w:cstheme="minorHAnsi"/>
          <w:b w:val="0"/>
          <w:bCs w:val="0"/>
          <w:sz w:val="21"/>
          <w:szCs w:val="21"/>
        </w:rPr>
        <w:t>Depression is the single largest contributor to the burden of disease, yet the current antidepressant medications are limited by high non-responsiveness and sign</w:t>
      </w:r>
      <w:r w:rsidR="00D903DE" w:rsidRPr="001C1334">
        <w:rPr>
          <w:rFonts w:asciiTheme="minorHAnsi" w:eastAsia="Tw Cen MT" w:hAnsiTheme="minorHAnsi" w:cstheme="minorHAnsi"/>
          <w:b w:val="0"/>
          <w:bCs w:val="0"/>
          <w:sz w:val="21"/>
          <w:szCs w:val="21"/>
        </w:rPr>
        <w:t xml:space="preserve">ificant side effects. </w:t>
      </w:r>
      <w:proofErr w:type="gramStart"/>
      <w:r w:rsidR="00D903DE" w:rsidRPr="001C1334">
        <w:rPr>
          <w:rFonts w:asciiTheme="minorHAnsi" w:eastAsia="Tw Cen MT" w:hAnsiTheme="minorHAnsi" w:cstheme="minorHAnsi"/>
          <w:b w:val="0"/>
          <w:bCs w:val="0"/>
          <w:sz w:val="21"/>
          <w:szCs w:val="21"/>
        </w:rPr>
        <w:t>Adenosine</w:t>
      </w:r>
      <w:proofErr w:type="gramEnd"/>
      <w:r w:rsidR="00D903DE" w:rsidRPr="001C1334">
        <w:rPr>
          <w:rFonts w:asciiTheme="minorHAnsi" w:eastAsia="Tw Cen MT" w:hAnsiTheme="minorHAnsi" w:cstheme="minorHAnsi"/>
          <w:b w:val="0"/>
          <w:bCs w:val="0"/>
          <w:sz w:val="21"/>
          <w:szCs w:val="21"/>
        </w:rPr>
        <w:t xml:space="preserve"> </w:t>
      </w:r>
      <w:r w:rsidRPr="001C1334">
        <w:rPr>
          <w:rFonts w:asciiTheme="minorHAnsi" w:eastAsia="Tw Cen MT" w:hAnsiTheme="minorHAnsi" w:cstheme="minorHAnsi"/>
          <w:b w:val="0"/>
          <w:bCs w:val="0"/>
          <w:sz w:val="21"/>
          <w:szCs w:val="21"/>
        </w:rPr>
        <w:t xml:space="preserve">A2A receptors (A2AR) are emerging as novel therapeutic targets to control of depression, but the cellular and circuit substrates are unknown. Here, we show a selective upregulation of A2AR in the lateral septum (LS) in two mouse models of repeated stress-induced depression and in postmortem brains of suicide completers. The activation of LS-A2AR-containing GABAergic neurons augmented their spiking frequency and the bi-directional manipulation of LS-A2AR activity demonstrated that LS-A2ARs are necessary and sufficient to trigger depressive phenotypes. Accordingly, modulation of LS-A2AR-positive neurons activity via </w:t>
      </w:r>
      <w:proofErr w:type="spellStart"/>
      <w:r w:rsidRPr="001C1334">
        <w:rPr>
          <w:rFonts w:asciiTheme="minorHAnsi" w:eastAsia="Tw Cen MT" w:hAnsiTheme="minorHAnsi" w:cstheme="minorHAnsi"/>
          <w:b w:val="0"/>
          <w:bCs w:val="0"/>
          <w:sz w:val="21"/>
          <w:szCs w:val="21"/>
        </w:rPr>
        <w:t>optogenetic</w:t>
      </w:r>
      <w:proofErr w:type="spellEnd"/>
      <w:r w:rsidRPr="001C1334">
        <w:rPr>
          <w:rFonts w:asciiTheme="minorHAnsi" w:eastAsia="Tw Cen MT" w:hAnsiTheme="minorHAnsi" w:cstheme="minorHAnsi"/>
          <w:b w:val="0"/>
          <w:bCs w:val="0"/>
          <w:sz w:val="21"/>
          <w:szCs w:val="21"/>
        </w:rPr>
        <w:t xml:space="preserve"> stimulation formatted depressive-like phenotype and the </w:t>
      </w:r>
      <w:proofErr w:type="spellStart"/>
      <w:r w:rsidRPr="001C1334">
        <w:rPr>
          <w:rFonts w:asciiTheme="minorHAnsi" w:eastAsia="Tw Cen MT" w:hAnsiTheme="minorHAnsi" w:cstheme="minorHAnsi"/>
          <w:b w:val="0"/>
          <w:bCs w:val="0"/>
          <w:sz w:val="21"/>
          <w:szCs w:val="21"/>
        </w:rPr>
        <w:t>optogenetic</w:t>
      </w:r>
      <w:proofErr w:type="spellEnd"/>
      <w:r w:rsidRPr="001C1334">
        <w:rPr>
          <w:rFonts w:asciiTheme="minorHAnsi" w:eastAsia="Tw Cen MT" w:hAnsiTheme="minorHAnsi" w:cstheme="minorHAnsi"/>
          <w:b w:val="0"/>
          <w:bCs w:val="0"/>
          <w:sz w:val="21"/>
          <w:szCs w:val="21"/>
        </w:rPr>
        <w:t xml:space="preserve"> activation of LS-A2AR-positive neurons projection terminals to the lateral </w:t>
      </w:r>
      <w:proofErr w:type="spellStart"/>
      <w:r w:rsidRPr="001C1334">
        <w:rPr>
          <w:rFonts w:asciiTheme="minorHAnsi" w:eastAsia="Tw Cen MT" w:hAnsiTheme="minorHAnsi" w:cstheme="minorHAnsi"/>
          <w:b w:val="0"/>
          <w:bCs w:val="0"/>
          <w:sz w:val="21"/>
          <w:szCs w:val="21"/>
        </w:rPr>
        <w:t>habenula</w:t>
      </w:r>
      <w:proofErr w:type="spellEnd"/>
      <w:r w:rsidRPr="001C1334">
        <w:rPr>
          <w:rFonts w:asciiTheme="minorHAnsi" w:eastAsia="Tw Cen MT" w:hAnsiTheme="minorHAnsi" w:cstheme="minorHAnsi"/>
          <w:b w:val="0"/>
          <w:bCs w:val="0"/>
          <w:sz w:val="21"/>
          <w:szCs w:val="21"/>
        </w:rPr>
        <w:t xml:space="preserve">, or to dorsomedial hypothalamus, </w:t>
      </w:r>
      <w:proofErr w:type="spellStart"/>
      <w:r w:rsidRPr="001C1334">
        <w:rPr>
          <w:rFonts w:asciiTheme="minorHAnsi" w:eastAsia="Tw Cen MT" w:hAnsiTheme="minorHAnsi" w:cstheme="minorHAnsi"/>
          <w:b w:val="0"/>
          <w:bCs w:val="0"/>
          <w:sz w:val="21"/>
          <w:szCs w:val="21"/>
        </w:rPr>
        <w:t>phenocopied</w:t>
      </w:r>
      <w:proofErr w:type="spellEnd"/>
      <w:r w:rsidRPr="001C1334">
        <w:rPr>
          <w:rFonts w:asciiTheme="minorHAnsi" w:eastAsia="Tw Cen MT" w:hAnsiTheme="minorHAnsi" w:cstheme="minorHAnsi"/>
          <w:b w:val="0"/>
          <w:bCs w:val="0"/>
          <w:sz w:val="21"/>
          <w:szCs w:val="21"/>
        </w:rPr>
        <w:t xml:space="preserve"> depressive behaviors. This identification that aberrantly increased A2AR signaling in the LS is a critical upstream regulator of repeated stress-induced depressive-like behaviors provides a neurophysiological and circuit-based justification of the antidepressant potential of A2AR antagonists, prompting their clinical translation.</w:t>
      </w:r>
      <w:r w:rsidR="00A9710C" w:rsidRPr="001C1334">
        <w:rPr>
          <w:rFonts w:asciiTheme="minorHAnsi" w:eastAsia="Tw Cen MT" w:hAnsiTheme="minorHAnsi" w:cstheme="minorHAnsi"/>
          <w:b w:val="0"/>
          <w:bCs w:val="0"/>
          <w:sz w:val="21"/>
          <w:szCs w:val="21"/>
        </w:rPr>
        <w:br w:type="column"/>
      </w:r>
      <w:r w:rsidR="00A9710C">
        <w:rPr>
          <w:color w:val="BF5A14"/>
        </w:rPr>
        <w:lastRenderedPageBreak/>
        <w:t>Image</w:t>
      </w:r>
    </w:p>
    <w:p w:rsidR="00AE3E37" w:rsidRDefault="00AE3E37">
      <w:pPr>
        <w:pStyle w:val="a3"/>
        <w:spacing w:before="2"/>
        <w:rPr>
          <w:rFonts w:ascii="Arial" w:eastAsiaTheme="minorEastAsia"/>
          <w:b/>
          <w:sz w:val="16"/>
          <w:lang w:eastAsia="zh-CN"/>
        </w:rPr>
      </w:pPr>
    </w:p>
    <w:p w:rsidR="00D65E66" w:rsidRDefault="00D65E66">
      <w:pPr>
        <w:pStyle w:val="a3"/>
        <w:spacing w:before="2"/>
        <w:rPr>
          <w:rFonts w:ascii="Arial" w:eastAsiaTheme="minorEastAsia"/>
          <w:b/>
          <w:sz w:val="16"/>
          <w:lang w:eastAsia="zh-CN"/>
        </w:rPr>
      </w:pPr>
      <w:r>
        <w:rPr>
          <w:rFonts w:ascii="Arial" w:eastAsiaTheme="minorEastAsia"/>
          <w:b/>
          <w:noProof/>
          <w:sz w:val="16"/>
          <w:lang w:eastAsia="zh-CN"/>
        </w:rPr>
        <w:drawing>
          <wp:inline distT="0" distB="0" distL="0" distR="0">
            <wp:extent cx="2123838" cy="1506931"/>
            <wp:effectExtent l="0" t="0" r="0" b="0"/>
            <wp:docPr id="29" name="图片 29" descr="C:\Users\acer\Desktop\图片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图片1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3836" cy="1506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5E66" w:rsidRDefault="00D65E66">
      <w:pPr>
        <w:pStyle w:val="a3"/>
        <w:spacing w:before="2"/>
        <w:rPr>
          <w:rFonts w:ascii="Arial" w:eastAsiaTheme="minorEastAsia"/>
          <w:b/>
          <w:sz w:val="16"/>
          <w:lang w:eastAsia="zh-CN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A4228B" w:rsidRPr="00A4228B" w:rsidRDefault="00A4228B" w:rsidP="00A4228B">
      <w:pPr>
        <w:pStyle w:val="a4"/>
        <w:numPr>
          <w:ilvl w:val="0"/>
          <w:numId w:val="4"/>
        </w:numPr>
        <w:tabs>
          <w:tab w:val="left" w:pos="384"/>
        </w:tabs>
        <w:ind w:right="117"/>
        <w:rPr>
          <w:sz w:val="20"/>
          <w:szCs w:val="20"/>
        </w:rPr>
      </w:pPr>
      <w:r w:rsidRPr="00A4228B">
        <w:rPr>
          <w:sz w:val="20"/>
          <w:szCs w:val="20"/>
        </w:rPr>
        <w:t xml:space="preserve">Wang, M., et al., Lateral septum adenosine A2A receptors control stress-induced depressive-like behaviors via signaling to the hypothalamus and </w:t>
      </w:r>
      <w:proofErr w:type="spellStart"/>
      <w:r w:rsidRPr="00A4228B">
        <w:rPr>
          <w:sz w:val="20"/>
          <w:szCs w:val="20"/>
        </w:rPr>
        <w:t>habenula</w:t>
      </w:r>
      <w:proofErr w:type="spellEnd"/>
      <w:r w:rsidRPr="00A4228B">
        <w:rPr>
          <w:sz w:val="20"/>
          <w:szCs w:val="20"/>
        </w:rPr>
        <w:t xml:space="preserve">. </w:t>
      </w:r>
      <w:r w:rsidRPr="006414CA">
        <w:rPr>
          <w:i/>
          <w:sz w:val="20"/>
          <w:szCs w:val="20"/>
        </w:rPr>
        <w:t>Nature Communications</w:t>
      </w:r>
      <w:r w:rsidRPr="00A4228B">
        <w:rPr>
          <w:sz w:val="20"/>
          <w:szCs w:val="20"/>
        </w:rPr>
        <w:t>, 2023. 14(1).</w:t>
      </w:r>
    </w:p>
    <w:p w:rsidR="00A4228B" w:rsidRPr="00A4228B" w:rsidRDefault="00A4228B" w:rsidP="00A4228B">
      <w:pPr>
        <w:pStyle w:val="a4"/>
        <w:numPr>
          <w:ilvl w:val="0"/>
          <w:numId w:val="4"/>
        </w:numPr>
        <w:tabs>
          <w:tab w:val="left" w:pos="384"/>
        </w:tabs>
        <w:ind w:right="117"/>
        <w:rPr>
          <w:sz w:val="20"/>
          <w:szCs w:val="20"/>
        </w:rPr>
      </w:pPr>
      <w:r w:rsidRPr="00A4228B">
        <w:rPr>
          <w:sz w:val="20"/>
          <w:szCs w:val="20"/>
        </w:rPr>
        <w:t xml:space="preserve">Shang, H., et al., Neuronal and astrocytic CB1R signaling differentially modulates goal-directed behavior and working memory by distinct temporal mechanisms. </w:t>
      </w:r>
      <w:proofErr w:type="spellStart"/>
      <w:r w:rsidRPr="006414CA">
        <w:rPr>
          <w:i/>
          <w:sz w:val="20"/>
          <w:szCs w:val="20"/>
        </w:rPr>
        <w:t>Neuropsychopharmacology</w:t>
      </w:r>
      <w:proofErr w:type="spellEnd"/>
      <w:r w:rsidRPr="00A4228B">
        <w:rPr>
          <w:sz w:val="20"/>
          <w:szCs w:val="20"/>
        </w:rPr>
        <w:t>, 2023.</w:t>
      </w:r>
    </w:p>
    <w:p w:rsidR="00A4228B" w:rsidRPr="00A4228B" w:rsidRDefault="00A4228B" w:rsidP="00A4228B">
      <w:pPr>
        <w:pStyle w:val="a4"/>
        <w:numPr>
          <w:ilvl w:val="0"/>
          <w:numId w:val="4"/>
        </w:numPr>
        <w:tabs>
          <w:tab w:val="left" w:pos="384"/>
        </w:tabs>
        <w:ind w:right="117"/>
        <w:rPr>
          <w:sz w:val="20"/>
          <w:szCs w:val="20"/>
        </w:rPr>
      </w:pPr>
      <w:r w:rsidRPr="00A4228B">
        <w:rPr>
          <w:sz w:val="20"/>
          <w:szCs w:val="20"/>
        </w:rPr>
        <w:t xml:space="preserve">Zheng, W., et al., Choroid plexus-selective inactivation of adenosine </w:t>
      </w:r>
      <w:proofErr w:type="gramStart"/>
      <w:r w:rsidRPr="00A4228B">
        <w:rPr>
          <w:sz w:val="20"/>
          <w:szCs w:val="20"/>
        </w:rPr>
        <w:t>A(</w:t>
      </w:r>
      <w:proofErr w:type="gramEnd"/>
      <w:r w:rsidRPr="00A4228B">
        <w:rPr>
          <w:sz w:val="20"/>
          <w:szCs w:val="20"/>
        </w:rPr>
        <w:t xml:space="preserve">2A) receptors protects against T cell infiltration and experimental autoimmune encephalomyelitis. </w:t>
      </w:r>
      <w:r w:rsidRPr="006414CA">
        <w:rPr>
          <w:i/>
          <w:sz w:val="20"/>
          <w:szCs w:val="20"/>
        </w:rPr>
        <w:t xml:space="preserve">J </w:t>
      </w:r>
      <w:proofErr w:type="spellStart"/>
      <w:r w:rsidRPr="006414CA">
        <w:rPr>
          <w:i/>
          <w:sz w:val="20"/>
          <w:szCs w:val="20"/>
        </w:rPr>
        <w:t>Neuroinflammation</w:t>
      </w:r>
      <w:proofErr w:type="spellEnd"/>
      <w:r w:rsidRPr="00A4228B">
        <w:rPr>
          <w:sz w:val="20"/>
          <w:szCs w:val="20"/>
        </w:rPr>
        <w:t>, 2022. 19(1): p. 52.</w:t>
      </w:r>
    </w:p>
    <w:p w:rsidR="00A4228B" w:rsidRPr="00A4228B" w:rsidRDefault="00A4228B" w:rsidP="00A4228B">
      <w:pPr>
        <w:pStyle w:val="a4"/>
        <w:numPr>
          <w:ilvl w:val="0"/>
          <w:numId w:val="4"/>
        </w:numPr>
        <w:tabs>
          <w:tab w:val="left" w:pos="384"/>
        </w:tabs>
        <w:ind w:right="117"/>
        <w:rPr>
          <w:sz w:val="20"/>
          <w:szCs w:val="20"/>
        </w:rPr>
      </w:pPr>
      <w:r w:rsidRPr="00A4228B">
        <w:rPr>
          <w:sz w:val="20"/>
          <w:szCs w:val="20"/>
        </w:rPr>
        <w:t>He, Y., et al., alpha-</w:t>
      </w:r>
      <w:proofErr w:type="spellStart"/>
      <w:r w:rsidRPr="00A4228B">
        <w:rPr>
          <w:sz w:val="20"/>
          <w:szCs w:val="20"/>
        </w:rPr>
        <w:t>Synuclein</w:t>
      </w:r>
      <w:proofErr w:type="spellEnd"/>
      <w:r w:rsidRPr="00A4228B">
        <w:rPr>
          <w:sz w:val="20"/>
          <w:szCs w:val="20"/>
        </w:rPr>
        <w:t xml:space="preserve"> Selectively Impairs Motor Sequence Learning and Value Sensitivity: Reversal by the Adenosine A2A Receptor Antagonists. </w:t>
      </w:r>
      <w:proofErr w:type="spellStart"/>
      <w:r w:rsidRPr="006414CA">
        <w:rPr>
          <w:i/>
          <w:sz w:val="20"/>
          <w:szCs w:val="20"/>
        </w:rPr>
        <w:t>Cereb</w:t>
      </w:r>
      <w:proofErr w:type="spellEnd"/>
      <w:r w:rsidRPr="006414CA">
        <w:rPr>
          <w:i/>
          <w:sz w:val="20"/>
          <w:szCs w:val="20"/>
        </w:rPr>
        <w:t xml:space="preserve"> Cortex</w:t>
      </w:r>
      <w:r w:rsidRPr="00A4228B">
        <w:rPr>
          <w:sz w:val="20"/>
          <w:szCs w:val="20"/>
        </w:rPr>
        <w:t>, 2022. 32(4): p. 808-823.</w:t>
      </w:r>
    </w:p>
    <w:p w:rsidR="00AE3E37" w:rsidRPr="00A4228B" w:rsidRDefault="00A4228B" w:rsidP="00A4228B">
      <w:pPr>
        <w:pStyle w:val="a4"/>
        <w:numPr>
          <w:ilvl w:val="0"/>
          <w:numId w:val="4"/>
        </w:numPr>
        <w:tabs>
          <w:tab w:val="left" w:pos="384"/>
        </w:tabs>
        <w:ind w:right="117"/>
        <w:rPr>
          <w:sz w:val="20"/>
          <w:szCs w:val="20"/>
        </w:rPr>
      </w:pPr>
      <w:proofErr w:type="spellStart"/>
      <w:r w:rsidRPr="00A4228B">
        <w:rPr>
          <w:sz w:val="20"/>
          <w:szCs w:val="20"/>
        </w:rPr>
        <w:t>Zhong</w:t>
      </w:r>
      <w:proofErr w:type="spellEnd"/>
      <w:r w:rsidRPr="00A4228B">
        <w:rPr>
          <w:sz w:val="20"/>
          <w:szCs w:val="20"/>
        </w:rPr>
        <w:t xml:space="preserve">, D.J., et al., Adenosine </w:t>
      </w:r>
      <w:proofErr w:type="gramStart"/>
      <w:r w:rsidRPr="00A4228B">
        <w:rPr>
          <w:sz w:val="20"/>
          <w:szCs w:val="20"/>
        </w:rPr>
        <w:t>A(</w:t>
      </w:r>
      <w:proofErr w:type="gramEnd"/>
      <w:r w:rsidRPr="00A4228B">
        <w:rPr>
          <w:sz w:val="20"/>
          <w:szCs w:val="20"/>
        </w:rPr>
        <w:t xml:space="preserve">2A) receptor antagonism protects against </w:t>
      </w:r>
      <w:proofErr w:type="spellStart"/>
      <w:r w:rsidRPr="00A4228B">
        <w:rPr>
          <w:sz w:val="20"/>
          <w:szCs w:val="20"/>
        </w:rPr>
        <w:t>hyperoxia</w:t>
      </w:r>
      <w:proofErr w:type="spellEnd"/>
      <w:r w:rsidRPr="00A4228B">
        <w:rPr>
          <w:sz w:val="20"/>
          <w:szCs w:val="20"/>
        </w:rPr>
        <w:t xml:space="preserve">-induced retinal vascular loss via cellular proliferation. </w:t>
      </w:r>
      <w:r w:rsidRPr="006414CA">
        <w:rPr>
          <w:i/>
          <w:sz w:val="20"/>
          <w:szCs w:val="20"/>
        </w:rPr>
        <w:t>FASEB J</w:t>
      </w:r>
      <w:r w:rsidRPr="00A4228B">
        <w:rPr>
          <w:sz w:val="20"/>
          <w:szCs w:val="20"/>
        </w:rPr>
        <w:t>, 2021. 35(9): p. e21842.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Pr="00D62425" w:rsidRDefault="00D62425">
      <w:pPr>
        <w:pStyle w:val="a3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6414CA" w:rsidRPr="006414CA">
        <w:rPr>
          <w:noProof/>
          <w:lang w:eastAsia="zh-CN"/>
        </w:rPr>
        <w:drawing>
          <wp:inline distT="0" distB="0" distL="0" distR="0" wp14:anchorId="651BE328" wp14:editId="79E66BEA">
            <wp:extent cx="507187" cy="760780"/>
            <wp:effectExtent l="0" t="0" r="7620" b="1270"/>
            <wp:docPr id="3" name="图片 2" descr="穿黑色衣服的男人&#10;&#10;描述已自动生成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id="{4CB8444B-7E8F-8EFC-1D94-B623D54C20C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穿黑色衣服的男人&#10;&#10;描述已自动生成">
                      <a:extLst>
                        <a:ext uri="{FF2B5EF4-FFF2-40B4-BE49-F238E27FC236}">
                          <a16:creationId xmlns:lc="http://schemas.openxmlformats.org/drawingml/2006/lockedCanvas" xmlns:a16="http://schemas.microsoft.com/office/drawing/2014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id="{4CB8444B-7E8F-8EFC-1D94-B623D54C20C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917" cy="76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414CA" w:rsidRPr="006414CA">
        <w:rPr>
          <w:noProof/>
          <w:lang w:eastAsia="zh-CN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6414CA" w:rsidRPr="006414CA" w:rsidRDefault="006414CA" w:rsidP="006414CA">
      <w:pPr>
        <w:pStyle w:val="a4"/>
        <w:widowControl/>
        <w:spacing w:before="0" w:line="216" w:lineRule="auto"/>
        <w:ind w:left="720" w:firstLine="0"/>
        <w:jc w:val="left"/>
        <w:rPr>
          <w:sz w:val="20"/>
          <w:szCs w:val="20"/>
        </w:rPr>
      </w:pPr>
      <w:r w:rsidRPr="006414CA">
        <w:rPr>
          <w:rFonts w:asciiTheme="minorHAnsi" w:eastAsiaTheme="minorEastAsia" w:hAnsi="等线" w:cstheme="minorBidi" w:hint="eastAsia"/>
          <w:color w:val="000000" w:themeColor="text1"/>
          <w:kern w:val="24"/>
          <w:sz w:val="20"/>
          <w:szCs w:val="20"/>
        </w:rPr>
        <w:t xml:space="preserve">Professor Chen has focus on the molecular pharmacology of adenosine A2A receptor for more than 25 years, and has made key contributions to the establishment of A2A receptor as a non- dopaminergic target for the treatment of Parkinson's disease. He has published more than 250 papers, including Nature Medicine, Nature Communications, PNAS, Molecular Psychiatry, etc. </w:t>
      </w:r>
    </w:p>
    <w:p w:rsidR="00AE3E37" w:rsidRDefault="006414CA" w:rsidP="006414CA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 xml:space="preserve">Email: </w:t>
      </w:r>
      <w:r w:rsidR="00D65E66" w:rsidRPr="00D65E66">
        <w:rPr>
          <w:rFonts w:ascii="Arial"/>
          <w:sz w:val="14"/>
        </w:rPr>
        <w:t>chenjf555@gmail.com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D903DE" w:rsidRDefault="00D903DE">
      <w:pPr>
        <w:spacing w:before="39"/>
        <w:ind w:left="100"/>
        <w:rPr>
          <w:rFonts w:ascii="Minion Pro" w:eastAsiaTheme="minorEastAsia"/>
          <w:b/>
          <w:sz w:val="20"/>
          <w:lang w:eastAsia="zh-CN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23EB" w:rsidRDefault="00AE23EB">
      <w:r>
        <w:separator/>
      </w:r>
    </w:p>
  </w:endnote>
  <w:endnote w:type="continuationSeparator" w:id="0">
    <w:p w:rsidR="00AE23EB" w:rsidRDefault="00AE2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6984B3E" wp14:editId="0B8B635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D6FB874" wp14:editId="420439E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72DD47E" wp14:editId="743DB87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23EB" w:rsidRDefault="00AE23EB">
      <w:r>
        <w:separator/>
      </w:r>
    </w:p>
  </w:footnote>
  <w:footnote w:type="continuationSeparator" w:id="0">
    <w:p w:rsidR="00AE23EB" w:rsidRDefault="00AE23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F6A0471" wp14:editId="11393C98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BD64904" wp14:editId="46BC0854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A21BE"/>
    <w:multiLevelType w:val="hybridMultilevel"/>
    <w:tmpl w:val="74AC839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36976D03"/>
    <w:multiLevelType w:val="hybridMultilevel"/>
    <w:tmpl w:val="B4F48792"/>
    <w:lvl w:ilvl="0" w:tplc="64D01C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960FC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42BA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2C31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049D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5873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945A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3095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5CD8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C1334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414CA"/>
    <w:rsid w:val="0078738A"/>
    <w:rsid w:val="00873DF0"/>
    <w:rsid w:val="008756E6"/>
    <w:rsid w:val="008B495A"/>
    <w:rsid w:val="008F53D5"/>
    <w:rsid w:val="009B2D44"/>
    <w:rsid w:val="00A07E82"/>
    <w:rsid w:val="00A4228B"/>
    <w:rsid w:val="00A9710C"/>
    <w:rsid w:val="00AE23EB"/>
    <w:rsid w:val="00AE3E37"/>
    <w:rsid w:val="00B21A57"/>
    <w:rsid w:val="00C33602"/>
    <w:rsid w:val="00CD6F55"/>
    <w:rsid w:val="00D62425"/>
    <w:rsid w:val="00D65E66"/>
    <w:rsid w:val="00D903DE"/>
    <w:rsid w:val="00DE3104"/>
    <w:rsid w:val="00F64827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D65E66"/>
    <w:pPr>
      <w:widowControl/>
      <w:spacing w:before="100" w:beforeAutospacing="1" w:after="100" w:afterAutospacing="1"/>
    </w:pPr>
    <w:rPr>
      <w:rFonts w:ascii="宋体" w:eastAsia="宋体" w:hAnsi="宋体" w:cs="宋体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D65E66"/>
    <w:pPr>
      <w:widowControl/>
      <w:spacing w:before="100" w:beforeAutospacing="1" w:after="100" w:afterAutospacing="1"/>
    </w:pPr>
    <w:rPr>
      <w:rFonts w:ascii="宋体" w:eastAsia="宋体" w:hAnsi="宋体" w:cs="宋体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53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3171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7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tiff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acer</cp:lastModifiedBy>
  <cp:revision>12</cp:revision>
  <dcterms:created xsi:type="dcterms:W3CDTF">2016-08-31T13:10:00Z</dcterms:created>
  <dcterms:modified xsi:type="dcterms:W3CDTF">2023-07-24T02:12:00Z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