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ind w:right="0" w:hanging="0"/>
        <w:jc w:val="left"/>
        <w:rPr>
          <w:sz w:val="28"/>
          <w:szCs w:val="28"/>
          <w:highlight w:val="none"/>
          <w:shd w:fill="auto" w:val="clear"/>
        </w:rPr>
      </w:pPr>
      <w:r>
        <w:rPr>
          <w:sz w:val="28"/>
          <w:szCs w:val="28"/>
          <w:shd w:fill="auto" w:val="clear"/>
        </w:rPr>
      </w:r>
    </w:p>
    <w:p>
      <w:pPr>
        <w:pStyle w:val="Normal"/>
        <w:bidi w:val="0"/>
        <w:ind w:right="0" w:hanging="0"/>
        <w:jc w:val="left"/>
        <w:rPr>
          <w:sz w:val="28"/>
          <w:szCs w:val="28"/>
          <w:highlight w:val="none"/>
          <w:shd w:fill="auto" w:val="clear"/>
        </w:rPr>
      </w:pPr>
      <w:r>
        <w:rPr>
          <w:sz w:val="28"/>
          <w:szCs w:val="28"/>
          <w:shd w:fill="auto" w:val="clear"/>
        </w:rPr>
      </w:r>
    </w:p>
    <w:p>
      <w:pPr>
        <w:pStyle w:val="Normal"/>
        <w:bidi w:val="0"/>
        <w:ind w:right="0" w:hanging="0"/>
        <w:jc w:val="left"/>
        <w:rPr>
          <w:sz w:val="28"/>
          <w:szCs w:val="28"/>
          <w:highlight w:val="none"/>
          <w:shd w:fill="auto" w:val="clear"/>
        </w:rPr>
      </w:pPr>
      <w:r>
        <w:rPr>
          <w:sz w:val="28"/>
          <w:szCs w:val="28"/>
          <w:shd w:fill="auto" w:val="clear"/>
        </w:rPr>
      </w:r>
    </w:p>
    <w:p>
      <w:pPr>
        <w:pStyle w:val="Normal"/>
        <w:bidi w:val="0"/>
        <w:ind w:right="0" w:hanging="0"/>
        <w:jc w:val="left"/>
        <w:rPr>
          <w:sz w:val="28"/>
          <w:szCs w:val="28"/>
          <w:highlight w:val="none"/>
          <w:shd w:fill="auto" w:val="clear"/>
        </w:rPr>
      </w:pPr>
      <w:r>
        <w:rPr>
          <w:sz w:val="28"/>
          <w:szCs w:val="28"/>
          <w:shd w:fill="auto" w:val="clear"/>
        </w:rPr>
        <w:t xml:space="preserve">[Tract no. </w:t>
      </w:r>
      <w:r>
        <w:rPr>
          <w:sz w:val="28"/>
          <w:szCs w:val="28"/>
          <w:shd w:fill="auto" w:val="clear"/>
        </w:rPr>
        <w:t>3-1</w:t>
      </w:r>
      <w:r>
        <w:rPr>
          <w:sz w:val="28"/>
          <w:szCs w:val="28"/>
          <w:shd w:fill="auto" w:val="clear"/>
        </w:rPr>
        <w:t>]</w:t>
      </w:r>
    </w:p>
    <w:p>
      <w:pPr>
        <w:pStyle w:val="Normal"/>
        <w:bidi w:val="0"/>
        <w:ind w:right="0" w:hanging="0"/>
        <w:jc w:val="left"/>
        <w:rPr>
          <w:sz w:val="28"/>
          <w:szCs w:val="28"/>
          <w:highlight w:val="none"/>
          <w:shd w:fill="auto" w:val="clear"/>
        </w:rPr>
      </w:pPr>
      <w:r>
        <w:rPr>
          <w:sz w:val="28"/>
          <w:szCs w:val="28"/>
          <w:shd w:fill="auto" w:val="clear"/>
        </w:rPr>
      </w:r>
    </w:p>
    <w:p>
      <w:pPr>
        <w:pStyle w:val="Normal"/>
        <w:bidi w:val="0"/>
        <w:ind w:right="0" w:hanging="0"/>
        <w:jc w:val="left"/>
        <w:rPr>
          <w:sz w:val="28"/>
          <w:szCs w:val="28"/>
          <w:highlight w:val="none"/>
          <w:shd w:fill="auto" w:val="clear"/>
        </w:rPr>
      </w:pPr>
      <w:r>
        <w:rPr>
          <w:sz w:val="28"/>
          <w:szCs w:val="28"/>
          <w:shd w:fill="auto" w:val="clear"/>
        </w:rPr>
        <w:t>Contexts and experiences of anxiety and depression among the indigenous Ati People in the Philippines: centering the tenuous links of land, identity, culture, and mental health</w:t>
        <w:br/>
      </w:r>
      <w:r>
        <w:rPr>
          <w:sz w:val="20"/>
          <w:szCs w:val="20"/>
          <w:shd w:fill="auto" w:val="clear"/>
        </w:rPr>
        <w:t>(Elena Freire Paz, Lorenzo Mariano Juarez, Jesus Varela Zapata, Delmiro Rocha Álvarez, Leah Mae Cabalfin, Josephine Tahan, Jose Rene M. Sansait)</w:t>
      </w:r>
    </w:p>
    <w:p>
      <w:pPr>
        <w:pStyle w:val="Normal"/>
        <w:bidi w:val="0"/>
        <w:jc w:val="left"/>
        <w:rPr>
          <w:sz w:val="20"/>
          <w:szCs w:val="20"/>
          <w:highlight w:val="none"/>
          <w:shd w:fill="auto" w:val="clear"/>
        </w:rPr>
      </w:pPr>
      <w:r>
        <w:rPr>
          <w:sz w:val="20"/>
          <w:szCs w:val="20"/>
          <w:shd w:fill="auto" w:val="clear"/>
        </w:rPr>
      </w:r>
    </w:p>
    <w:p>
      <w:pPr>
        <w:pStyle w:val="Normal"/>
        <w:bidi w:val="0"/>
        <w:jc w:val="left"/>
        <w:rPr>
          <w:sz w:val="28"/>
          <w:szCs w:val="28"/>
          <w:highlight w:val="none"/>
          <w:shd w:fill="auto" w:val="clear"/>
        </w:rPr>
      </w:pPr>
      <w:r>
        <w:rPr>
          <w:sz w:val="28"/>
          <w:szCs w:val="28"/>
          <w:shd w:fill="auto" w:val="clear"/>
        </w:rPr>
        <w:br/>
        <w:t>In the Philippines, progress meant transforming the social, economic, and cultural realms of communities, which, while exhilarating, not everyone could afford or participate in. Painful though as it is, indigenous peoples are generally become the passive victims of direct and indirect social, political and health policies that overlook their circumstances and experiences tied to land, identity, and culture, given their history of displacement, dispossession, and poverty. Although terms like ethnocide and genocide are extreme, if nothing is done to address the condition of the relatively small Ati people in the central Philippines, the loss of their rich identity for the sake of assimilation and national identification may fall into one or both of those categories. Given the many favorable national and international legal documents addressing indigenous people’s wellbeing, none, however, is more timely than including the community in the country’s mental health program tailored to their specific needs. In this paper by highlighting ethnographic narratives of how elders experience anxiety and depression, along with their coping strategies in their marginalized conditions as indigenous people the knowledge contributed will lead to a collaborative effort that would centralize land, culture, and identity in pursuit of their sustainable co-existence with the wider society. Overall, shifting through the shared experiences of indigenous peoples all over the world, their experience is no exception, thus calling for the safeguarding of their identities, culture, and land within their co-produced mental health framework and program.</w:t>
        <w:br/>
      </w:r>
    </w:p>
    <w:sectPr>
      <w:type w:val="nextPage"/>
      <w:pgSz w:w="12240" w:h="15840"/>
      <w:pgMar w:left="1890" w:right="1455"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SimSun" w:cs="Lucida Sans"/>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lang w:val="zxx" w:eastAsia="zxx" w:bidi="zxx"/>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7</TotalTime>
  <Application>LibreOffice/7.4.2.3$Windows_X86_64 LibreOffice_project/382eef1f22670f7f4118c8c2dd222ec7ad009daf</Application>
  <AppVersion>15.0000</AppVersion>
  <Pages>1</Pages>
  <Words>287</Words>
  <Characters>1701</Characters>
  <CharactersWithSpaces>1987</CharactersWithSpaces>
  <Paragraphs>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2023-05-29T19:55:19Z</dcterms:created>
  <dc:creator/>
  <dc:description/>
  <dc:language>en-US</dc:language>
  <cp:lastModifiedBy/>
  <dcterms:modified xsi:type="dcterms:W3CDTF">2023-05-29T20:07:57Z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