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56C49" w14:textId="3B4BCA34" w:rsidR="005D2464" w:rsidRPr="00C35334" w:rsidRDefault="005D2464" w:rsidP="006B3432">
      <w:pPr>
        <w:bidi w:val="0"/>
        <w:spacing w:after="0" w:line="360" w:lineRule="auto"/>
        <w:jc w:val="both"/>
        <w:rPr>
          <w:rFonts w:asciiTheme="majorBidi" w:hAnsiTheme="majorBidi" w:cstheme="majorBidi"/>
          <w:b/>
          <w:bCs/>
          <w:sz w:val="28"/>
          <w:szCs w:val="28"/>
        </w:rPr>
      </w:pPr>
      <w:r w:rsidRPr="00C35334">
        <w:rPr>
          <w:rFonts w:asciiTheme="majorBidi" w:hAnsiTheme="majorBidi" w:cstheme="majorBidi"/>
          <w:b/>
          <w:bCs/>
          <w:sz w:val="28"/>
          <w:szCs w:val="28"/>
        </w:rPr>
        <w:t xml:space="preserve">The Effect of Exposure to Terror Trough Media on Levels of Emotional Distress and Its Association </w:t>
      </w:r>
      <w:r w:rsidR="00227DB6" w:rsidRPr="00C35334">
        <w:rPr>
          <w:rFonts w:asciiTheme="majorBidi" w:hAnsiTheme="majorBidi" w:cstheme="majorBidi"/>
          <w:b/>
          <w:bCs/>
          <w:sz w:val="28"/>
          <w:szCs w:val="28"/>
        </w:rPr>
        <w:t>to</w:t>
      </w:r>
      <w:r w:rsidRPr="00C35334">
        <w:rPr>
          <w:rFonts w:asciiTheme="majorBidi" w:hAnsiTheme="majorBidi" w:cstheme="majorBidi"/>
          <w:b/>
          <w:bCs/>
          <w:sz w:val="28"/>
          <w:szCs w:val="28"/>
        </w:rPr>
        <w:t xml:space="preserve"> Forgive</w:t>
      </w:r>
      <w:r w:rsidR="00227DB6" w:rsidRPr="00C35334">
        <w:rPr>
          <w:rFonts w:asciiTheme="majorBidi" w:hAnsiTheme="majorBidi" w:cstheme="majorBidi"/>
          <w:b/>
          <w:bCs/>
          <w:sz w:val="28"/>
          <w:szCs w:val="28"/>
        </w:rPr>
        <w:t>ness</w:t>
      </w:r>
      <w:r w:rsidRPr="00C35334">
        <w:rPr>
          <w:rFonts w:asciiTheme="majorBidi" w:hAnsiTheme="majorBidi" w:cstheme="majorBidi"/>
          <w:b/>
          <w:bCs/>
          <w:sz w:val="28"/>
          <w:szCs w:val="28"/>
        </w:rPr>
        <w:t xml:space="preserve"> and Mastery</w:t>
      </w:r>
    </w:p>
    <w:p w14:paraId="75B7FE1D" w14:textId="77777777" w:rsidR="005D2464" w:rsidRPr="00DB164F" w:rsidRDefault="005D2464" w:rsidP="006B3432">
      <w:pPr>
        <w:bidi w:val="0"/>
        <w:spacing w:after="0" w:line="360" w:lineRule="auto"/>
        <w:jc w:val="both"/>
        <w:rPr>
          <w:rFonts w:asciiTheme="majorBidi" w:hAnsiTheme="majorBidi" w:cstheme="majorBidi"/>
          <w:b/>
          <w:bCs/>
          <w:sz w:val="24"/>
          <w:szCs w:val="24"/>
          <w:u w:val="single"/>
        </w:rPr>
      </w:pPr>
    </w:p>
    <w:p w14:paraId="2E9C9752" w14:textId="77777777" w:rsidR="005D2464" w:rsidRPr="00DB164F" w:rsidRDefault="005D2464" w:rsidP="006B3432">
      <w:pPr>
        <w:bidi w:val="0"/>
        <w:spacing w:after="0" w:line="360" w:lineRule="auto"/>
        <w:jc w:val="both"/>
        <w:rPr>
          <w:rFonts w:asciiTheme="majorBidi" w:hAnsiTheme="majorBidi" w:cstheme="majorBidi"/>
          <w:b/>
          <w:bCs/>
          <w:sz w:val="24"/>
          <w:szCs w:val="24"/>
          <w:rtl/>
        </w:rPr>
      </w:pPr>
      <w:r w:rsidRPr="00DB164F">
        <w:rPr>
          <w:rFonts w:asciiTheme="majorBidi" w:hAnsiTheme="majorBidi" w:cstheme="majorBidi"/>
          <w:b/>
          <w:bCs/>
          <w:sz w:val="24"/>
          <w:szCs w:val="24"/>
        </w:rPr>
        <w:t xml:space="preserve">Weinberg, M., Besser, A. Gil, S., </w:t>
      </w:r>
      <w:proofErr w:type="spellStart"/>
      <w:r w:rsidRPr="00DB164F">
        <w:rPr>
          <w:rFonts w:asciiTheme="majorBidi" w:hAnsiTheme="majorBidi" w:cstheme="majorBidi"/>
          <w:b/>
          <w:bCs/>
          <w:sz w:val="24"/>
          <w:szCs w:val="24"/>
        </w:rPr>
        <w:t>Finzi</w:t>
      </w:r>
      <w:proofErr w:type="spellEnd"/>
      <w:r w:rsidRPr="00DB164F">
        <w:rPr>
          <w:rFonts w:asciiTheme="majorBidi" w:hAnsiTheme="majorBidi" w:cstheme="majorBidi"/>
          <w:b/>
          <w:bCs/>
          <w:sz w:val="24"/>
          <w:szCs w:val="24"/>
        </w:rPr>
        <w:t>, E.</w:t>
      </w:r>
    </w:p>
    <w:p w14:paraId="4865F723" w14:textId="77777777" w:rsidR="005D2464" w:rsidRPr="00DB164F" w:rsidRDefault="005D2464" w:rsidP="006B3432">
      <w:pPr>
        <w:bidi w:val="0"/>
        <w:spacing w:after="0" w:line="360" w:lineRule="auto"/>
        <w:jc w:val="both"/>
        <w:rPr>
          <w:rFonts w:asciiTheme="majorBidi" w:hAnsiTheme="majorBidi" w:cstheme="majorBidi"/>
          <w:b/>
          <w:bCs/>
          <w:sz w:val="24"/>
          <w:szCs w:val="24"/>
        </w:rPr>
      </w:pPr>
    </w:p>
    <w:p w14:paraId="0AC6C519" w14:textId="2E3A67FC" w:rsidR="005D2464" w:rsidRPr="00DB164F" w:rsidRDefault="005D2464" w:rsidP="00FA6D8B">
      <w:pPr>
        <w:bidi w:val="0"/>
        <w:spacing w:after="0" w:line="360" w:lineRule="auto"/>
        <w:jc w:val="both"/>
        <w:rPr>
          <w:rFonts w:asciiTheme="majorBidi" w:eastAsia="Calibri" w:hAnsiTheme="majorBidi" w:cstheme="majorBidi"/>
          <w:b/>
          <w:bCs/>
          <w:sz w:val="24"/>
          <w:szCs w:val="24"/>
        </w:rPr>
      </w:pPr>
      <w:r w:rsidRPr="00FA6D8B">
        <w:rPr>
          <w:rFonts w:asciiTheme="majorBidi" w:eastAsia="Calibri" w:hAnsiTheme="majorBidi" w:cstheme="majorBidi"/>
          <w:b/>
          <w:bCs/>
          <w:sz w:val="24"/>
          <w:szCs w:val="24"/>
          <w:u w:val="single"/>
        </w:rPr>
        <w:t xml:space="preserve">Abstract </w:t>
      </w:r>
    </w:p>
    <w:p w14:paraId="0683F939" w14:textId="77777777" w:rsidR="005D2464" w:rsidRPr="00DB164F" w:rsidRDefault="005D2464" w:rsidP="006B3432">
      <w:pPr>
        <w:bidi w:val="0"/>
        <w:spacing w:after="0" w:line="360" w:lineRule="auto"/>
        <w:jc w:val="both"/>
        <w:rPr>
          <w:rFonts w:asciiTheme="majorBidi" w:eastAsia="Calibri" w:hAnsiTheme="majorBidi" w:cstheme="majorBidi"/>
          <w:sz w:val="24"/>
          <w:szCs w:val="24"/>
        </w:rPr>
      </w:pPr>
      <w:r w:rsidRPr="00DB164F">
        <w:rPr>
          <w:rFonts w:asciiTheme="majorBidi" w:hAnsiTheme="majorBidi" w:cstheme="majorBidi"/>
          <w:sz w:val="24"/>
          <w:szCs w:val="24"/>
        </w:rPr>
        <w:t xml:space="preserve">Modern technology has made possible unprecedented opportunities for second-hand exposure to disasters and violence. Exposure to traumatic video footage of terror attacks as distributed over social networks can cause significant emotional distress. Dealing with such stress requires attention to significant personal resources. This study examined the relationship between tendency to forgive and mastery with PTSD symptoms and stress among 249 participants (N = 249). The study questionnaires were filled out at two points in time. At Time 1, tendency-to-forgive, mastery, and general PTSD symptoms, and stress were completed. At Time 2 after watching a 3-minute video clip of a series of terror attacks that were distributed over social networks the participants filled out PTSD-symptom and perceived-stress questionnaires once again.  The study results demonstrated that </w:t>
      </w:r>
      <w:r w:rsidRPr="00DB164F">
        <w:rPr>
          <w:rFonts w:asciiTheme="majorBidi" w:eastAsia="Calibri" w:hAnsiTheme="majorBidi" w:cstheme="majorBidi"/>
          <w:sz w:val="24"/>
          <w:szCs w:val="24"/>
        </w:rPr>
        <w:t xml:space="preserve">tendency to forgive the self was negatively associated with stress levels at T1, whereas tendency to forgive the situation was negatively associated with both PTSD symptoms at T1 and stress levels at T1. Mastery was positively associated with both PTSD symptoms at T1 and stress levels at T1. In addition, PTSD symptoms at T1 were positively associated with both PTSD symptoms at T2 and stress at T2. However, stress at T1 was only positively associated with stress atT2. </w:t>
      </w:r>
      <w:r w:rsidRPr="00DB164F">
        <w:rPr>
          <w:rFonts w:asciiTheme="majorBidi" w:hAnsiTheme="majorBidi" w:cstheme="majorBidi"/>
          <w:sz w:val="24"/>
          <w:szCs w:val="24"/>
        </w:rPr>
        <w:t>The study findings make an important contribution to our understanding of tendency to forgive, mastery, PTSD symptoms, and stress among those exposed to traumatic social-media content.  Theoretical and clinical implications are discussed.</w:t>
      </w:r>
    </w:p>
    <w:p w14:paraId="3E1B4C0F" w14:textId="77777777" w:rsidR="00FA6D8B" w:rsidRDefault="00FA6D8B" w:rsidP="006B3432">
      <w:pPr>
        <w:bidi w:val="0"/>
        <w:spacing w:after="0" w:line="360" w:lineRule="auto"/>
        <w:jc w:val="both"/>
        <w:rPr>
          <w:rFonts w:asciiTheme="majorBidi" w:eastAsia="Calibri" w:hAnsiTheme="majorBidi" w:cstheme="majorBidi"/>
          <w:b/>
          <w:bCs/>
          <w:sz w:val="24"/>
          <w:szCs w:val="24"/>
        </w:rPr>
      </w:pPr>
    </w:p>
    <w:p w14:paraId="6AD7D63D" w14:textId="3C204C48" w:rsidR="005D2464" w:rsidRPr="00DB164F" w:rsidRDefault="005D2464" w:rsidP="00FA6D8B">
      <w:pPr>
        <w:bidi w:val="0"/>
        <w:spacing w:after="0" w:line="360" w:lineRule="auto"/>
        <w:jc w:val="both"/>
        <w:rPr>
          <w:rFonts w:asciiTheme="majorBidi" w:eastAsia="Calibri" w:hAnsiTheme="majorBidi" w:cstheme="majorBidi"/>
          <w:b/>
          <w:bCs/>
          <w:sz w:val="24"/>
          <w:szCs w:val="24"/>
        </w:rPr>
      </w:pPr>
      <w:r w:rsidRPr="00DB164F">
        <w:rPr>
          <w:rFonts w:asciiTheme="majorBidi" w:eastAsia="Calibri" w:hAnsiTheme="majorBidi" w:cstheme="majorBidi"/>
          <w:b/>
          <w:bCs/>
          <w:sz w:val="24"/>
          <w:szCs w:val="24"/>
        </w:rPr>
        <w:t>Sample References</w:t>
      </w:r>
    </w:p>
    <w:p w14:paraId="7542C969"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rPr>
      </w:pPr>
      <w:r w:rsidRPr="00DB164F">
        <w:rPr>
          <w:rFonts w:asciiTheme="majorBidi" w:hAnsiTheme="majorBidi" w:cstheme="majorBidi"/>
          <w:sz w:val="24"/>
          <w:szCs w:val="24"/>
        </w:rPr>
        <w:t>Ben-</w:t>
      </w:r>
      <w:proofErr w:type="spellStart"/>
      <w:r w:rsidRPr="00DB164F">
        <w:rPr>
          <w:rFonts w:asciiTheme="majorBidi" w:hAnsiTheme="majorBidi" w:cstheme="majorBidi"/>
          <w:sz w:val="24"/>
          <w:szCs w:val="24"/>
        </w:rPr>
        <w:t>Zur</w:t>
      </w:r>
      <w:proofErr w:type="spellEnd"/>
      <w:r w:rsidRPr="00DB164F">
        <w:rPr>
          <w:rFonts w:asciiTheme="majorBidi" w:hAnsiTheme="majorBidi" w:cstheme="majorBidi"/>
          <w:sz w:val="24"/>
          <w:szCs w:val="24"/>
        </w:rPr>
        <w:t xml:space="preserve">, H., Gil, S., &amp; </w:t>
      </w:r>
      <w:proofErr w:type="spellStart"/>
      <w:r w:rsidRPr="00DB164F">
        <w:rPr>
          <w:rFonts w:asciiTheme="majorBidi" w:hAnsiTheme="majorBidi" w:cstheme="majorBidi"/>
          <w:sz w:val="24"/>
          <w:szCs w:val="24"/>
        </w:rPr>
        <w:t>Shamshins</w:t>
      </w:r>
      <w:proofErr w:type="spellEnd"/>
      <w:r w:rsidRPr="00DB164F">
        <w:rPr>
          <w:rFonts w:asciiTheme="majorBidi" w:hAnsiTheme="majorBidi" w:cstheme="majorBidi"/>
          <w:sz w:val="24"/>
          <w:szCs w:val="24"/>
        </w:rPr>
        <w:t xml:space="preserve">, Y. (2012). The relationship between exposure to terror through the media, coping strategies and resources, and distress and secondary traumatization. International Journal of Stress Management, 19(2), 132. </w:t>
      </w:r>
    </w:p>
    <w:p w14:paraId="1E35A6AD"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r w:rsidRPr="00DB164F">
        <w:rPr>
          <w:rFonts w:asciiTheme="majorBidi" w:hAnsiTheme="majorBidi" w:cstheme="majorBidi"/>
          <w:sz w:val="24"/>
          <w:szCs w:val="24"/>
          <w:shd w:val="clear" w:color="auto" w:fill="FFFFFF"/>
        </w:rPr>
        <w:lastRenderedPageBreak/>
        <w:t xml:space="preserve">Besser, A., &amp; </w:t>
      </w:r>
      <w:proofErr w:type="spellStart"/>
      <w:r w:rsidRPr="00DB164F">
        <w:rPr>
          <w:rFonts w:asciiTheme="majorBidi" w:hAnsiTheme="majorBidi" w:cstheme="majorBidi"/>
          <w:sz w:val="24"/>
          <w:szCs w:val="24"/>
          <w:shd w:val="clear" w:color="auto" w:fill="FFFFFF"/>
        </w:rPr>
        <w:t>Priel</w:t>
      </w:r>
      <w:proofErr w:type="spellEnd"/>
      <w:r w:rsidRPr="00DB164F">
        <w:rPr>
          <w:rFonts w:asciiTheme="majorBidi" w:hAnsiTheme="majorBidi" w:cstheme="majorBidi"/>
          <w:sz w:val="24"/>
          <w:szCs w:val="24"/>
          <w:shd w:val="clear" w:color="auto" w:fill="FFFFFF"/>
        </w:rPr>
        <w:t>, B. (2010). Personality vulnerability, low social support, and maladaptive cognitive emotion regulation under ongoing exposure to terrorist attacks. Journal of Social and Clinical Psychology, 29(2), 166</w:t>
      </w:r>
      <w:r w:rsidRPr="00DB164F">
        <w:rPr>
          <w:rFonts w:asciiTheme="majorBidi" w:hAnsiTheme="majorBidi" w:cstheme="majorBidi"/>
          <w:sz w:val="24"/>
          <w:szCs w:val="24"/>
        </w:rPr>
        <w:t>–</w:t>
      </w:r>
      <w:r w:rsidRPr="00DB164F">
        <w:rPr>
          <w:rFonts w:asciiTheme="majorBidi" w:hAnsiTheme="majorBidi" w:cstheme="majorBidi"/>
          <w:sz w:val="24"/>
          <w:szCs w:val="24"/>
          <w:shd w:val="clear" w:color="auto" w:fill="FFFFFF"/>
        </w:rPr>
        <w:t xml:space="preserve">201. </w:t>
      </w:r>
    </w:p>
    <w:p w14:paraId="0B47F31F"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rPr>
      </w:pPr>
      <w:r w:rsidRPr="00DB164F">
        <w:rPr>
          <w:rFonts w:asciiTheme="majorBidi" w:hAnsiTheme="majorBidi" w:cstheme="majorBidi"/>
          <w:sz w:val="24"/>
          <w:szCs w:val="24"/>
          <w:shd w:val="clear" w:color="auto" w:fill="FFFFFF"/>
        </w:rPr>
        <w:t xml:space="preserve">Besser, A., </w:t>
      </w:r>
      <w:proofErr w:type="spellStart"/>
      <w:r w:rsidRPr="00DB164F">
        <w:rPr>
          <w:rFonts w:asciiTheme="majorBidi" w:hAnsiTheme="majorBidi" w:cstheme="majorBidi"/>
          <w:sz w:val="24"/>
          <w:szCs w:val="24"/>
          <w:shd w:val="clear" w:color="auto" w:fill="FFFFFF"/>
        </w:rPr>
        <w:t>Neria</w:t>
      </w:r>
      <w:proofErr w:type="spellEnd"/>
      <w:r w:rsidRPr="00DB164F">
        <w:rPr>
          <w:rFonts w:asciiTheme="majorBidi" w:hAnsiTheme="majorBidi" w:cstheme="majorBidi"/>
          <w:sz w:val="24"/>
          <w:szCs w:val="24"/>
          <w:shd w:val="clear" w:color="auto" w:fill="FFFFFF"/>
        </w:rPr>
        <w:t>, Y., &amp; Haynes, M. (2009). Adult attachment, perceived stress, and PTSD among civilians exposed to ongoing terrorist attacks in Southern Israel. Personality and Individual Differences, 47(8), 851-857.</w:t>
      </w:r>
    </w:p>
    <w:p w14:paraId="6246AF8C"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r w:rsidRPr="00DB164F">
        <w:rPr>
          <w:rFonts w:asciiTheme="majorBidi" w:hAnsiTheme="majorBidi" w:cstheme="majorBidi"/>
          <w:sz w:val="24"/>
          <w:szCs w:val="24"/>
          <w:shd w:val="clear" w:color="auto" w:fill="FFFFFF"/>
        </w:rPr>
        <w:t xml:space="preserve">Besser, A., Zeigler-Hill, V., Weinberg, M., Pincus, A. L., &amp; </w:t>
      </w:r>
      <w:proofErr w:type="spellStart"/>
      <w:r w:rsidRPr="00DB164F">
        <w:rPr>
          <w:rFonts w:asciiTheme="majorBidi" w:hAnsiTheme="majorBidi" w:cstheme="majorBidi"/>
          <w:sz w:val="24"/>
          <w:szCs w:val="24"/>
          <w:shd w:val="clear" w:color="auto" w:fill="FFFFFF"/>
        </w:rPr>
        <w:t>Neria</w:t>
      </w:r>
      <w:proofErr w:type="spellEnd"/>
      <w:r w:rsidRPr="00DB164F">
        <w:rPr>
          <w:rFonts w:asciiTheme="majorBidi" w:hAnsiTheme="majorBidi" w:cstheme="majorBidi"/>
          <w:sz w:val="24"/>
          <w:szCs w:val="24"/>
          <w:shd w:val="clear" w:color="auto" w:fill="FFFFFF"/>
        </w:rPr>
        <w:t>, Y. (2015). Intrapersonal resilience moderates the association between exposure-severity and PTSD symptoms among civilians exposed to the 2014 Israel–Gaza conflict. Self and Identity, 14(1), 1</w:t>
      </w:r>
      <w:r w:rsidRPr="00DB164F">
        <w:rPr>
          <w:rFonts w:asciiTheme="majorBidi" w:hAnsiTheme="majorBidi" w:cstheme="majorBidi"/>
          <w:sz w:val="24"/>
          <w:szCs w:val="24"/>
        </w:rPr>
        <w:t>–</w:t>
      </w:r>
      <w:r w:rsidRPr="00DB164F">
        <w:rPr>
          <w:rFonts w:asciiTheme="majorBidi" w:hAnsiTheme="majorBidi" w:cstheme="majorBidi"/>
          <w:sz w:val="24"/>
          <w:szCs w:val="24"/>
          <w:shd w:val="clear" w:color="auto" w:fill="FFFFFF"/>
        </w:rPr>
        <w:t>15.</w:t>
      </w:r>
    </w:p>
    <w:p w14:paraId="4CC96C0B"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rPr>
      </w:pPr>
      <w:r w:rsidRPr="00DB164F">
        <w:rPr>
          <w:rFonts w:asciiTheme="majorBidi" w:hAnsiTheme="majorBidi" w:cstheme="majorBidi"/>
          <w:sz w:val="24"/>
          <w:szCs w:val="24"/>
        </w:rPr>
        <w:t xml:space="preserve">Feinstein, A., </w:t>
      </w:r>
      <w:proofErr w:type="spellStart"/>
      <w:r w:rsidRPr="00DB164F">
        <w:rPr>
          <w:rFonts w:asciiTheme="majorBidi" w:hAnsiTheme="majorBidi" w:cstheme="majorBidi"/>
          <w:sz w:val="24"/>
          <w:szCs w:val="24"/>
        </w:rPr>
        <w:t>Audet</w:t>
      </w:r>
      <w:proofErr w:type="spellEnd"/>
      <w:r w:rsidRPr="00DB164F">
        <w:rPr>
          <w:rFonts w:asciiTheme="majorBidi" w:hAnsiTheme="majorBidi" w:cstheme="majorBidi"/>
          <w:sz w:val="24"/>
          <w:szCs w:val="24"/>
        </w:rPr>
        <w:t xml:space="preserve">, B., &amp; </w:t>
      </w:r>
      <w:proofErr w:type="spellStart"/>
      <w:r w:rsidRPr="00DB164F">
        <w:rPr>
          <w:rFonts w:asciiTheme="majorBidi" w:hAnsiTheme="majorBidi" w:cstheme="majorBidi"/>
          <w:sz w:val="24"/>
          <w:szCs w:val="24"/>
        </w:rPr>
        <w:t>Waknine</w:t>
      </w:r>
      <w:proofErr w:type="spellEnd"/>
      <w:r w:rsidRPr="00DB164F">
        <w:rPr>
          <w:rFonts w:asciiTheme="majorBidi" w:hAnsiTheme="majorBidi" w:cstheme="majorBidi"/>
          <w:sz w:val="24"/>
          <w:szCs w:val="24"/>
        </w:rPr>
        <w:t>, E. (2014). Witnessing images of extreme violence: A psychological study of journalists in the newsroom. JRSM Open, 5(8), 2054270414533323.</w:t>
      </w:r>
    </w:p>
    <w:p w14:paraId="6642C832"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rPr>
      </w:pPr>
      <w:proofErr w:type="spellStart"/>
      <w:r w:rsidRPr="00DB164F">
        <w:rPr>
          <w:rFonts w:asciiTheme="majorBidi" w:hAnsiTheme="majorBidi" w:cstheme="majorBidi"/>
          <w:sz w:val="24"/>
          <w:szCs w:val="24"/>
        </w:rPr>
        <w:t>Fincham</w:t>
      </w:r>
      <w:proofErr w:type="spellEnd"/>
      <w:r w:rsidRPr="00DB164F">
        <w:rPr>
          <w:rFonts w:asciiTheme="majorBidi" w:hAnsiTheme="majorBidi" w:cstheme="majorBidi"/>
          <w:sz w:val="24"/>
          <w:szCs w:val="24"/>
        </w:rPr>
        <w:t xml:space="preserve">, F. D., &amp; </w:t>
      </w:r>
      <w:proofErr w:type="spellStart"/>
      <w:r w:rsidRPr="00DB164F">
        <w:rPr>
          <w:rFonts w:asciiTheme="majorBidi" w:hAnsiTheme="majorBidi" w:cstheme="majorBidi"/>
          <w:sz w:val="24"/>
          <w:szCs w:val="24"/>
        </w:rPr>
        <w:t>Kashdan</w:t>
      </w:r>
      <w:proofErr w:type="spellEnd"/>
      <w:r w:rsidRPr="00DB164F">
        <w:rPr>
          <w:rFonts w:asciiTheme="majorBidi" w:hAnsiTheme="majorBidi" w:cstheme="majorBidi"/>
          <w:sz w:val="24"/>
          <w:szCs w:val="24"/>
        </w:rPr>
        <w:t>, T. B. (2004). Facilitating forgiveness: Developing group and community interventions. In P. A. Linley &amp; S. Joseph (Eds.), Positive psychology in practice (pp. 617–637). Hoboken, NJ: John Wiley &amp; Sons.</w:t>
      </w:r>
    </w:p>
    <w:p w14:paraId="2B071D14"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r w:rsidRPr="00DB164F">
        <w:rPr>
          <w:rFonts w:asciiTheme="majorBidi" w:hAnsiTheme="majorBidi" w:cstheme="majorBidi"/>
          <w:sz w:val="24"/>
          <w:szCs w:val="24"/>
          <w:shd w:val="clear" w:color="auto" w:fill="FFFFFF"/>
        </w:rPr>
        <w:t>Gil, S., &amp; Weinberg, M. (2015). Coping strategies and internal resources of dispositional optimism and mastery as predictors of traumatic exposure and of PTSD symptoms: A prospective study. Psychological Trauma: Theory, Research, Practice, and Policy, 7(4), 405.</w:t>
      </w:r>
    </w:p>
    <w:p w14:paraId="4AF345DB"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r w:rsidRPr="00DB164F">
        <w:rPr>
          <w:rFonts w:asciiTheme="majorBidi" w:hAnsiTheme="majorBidi" w:cstheme="majorBidi"/>
          <w:sz w:val="24"/>
          <w:szCs w:val="24"/>
          <w:shd w:val="clear" w:color="auto" w:fill="FFFFFF"/>
        </w:rPr>
        <w:t xml:space="preserve">Gil, S., Weinberg, M., Or‐Chen, K., &amp; </w:t>
      </w:r>
      <w:proofErr w:type="spellStart"/>
      <w:r w:rsidRPr="00DB164F">
        <w:rPr>
          <w:rFonts w:asciiTheme="majorBidi" w:hAnsiTheme="majorBidi" w:cstheme="majorBidi"/>
          <w:sz w:val="24"/>
          <w:szCs w:val="24"/>
          <w:shd w:val="clear" w:color="auto" w:fill="FFFFFF"/>
        </w:rPr>
        <w:t>Harel</w:t>
      </w:r>
      <w:proofErr w:type="spellEnd"/>
      <w:r w:rsidRPr="00DB164F">
        <w:rPr>
          <w:rFonts w:asciiTheme="majorBidi" w:hAnsiTheme="majorBidi" w:cstheme="majorBidi"/>
          <w:sz w:val="24"/>
          <w:szCs w:val="24"/>
          <w:shd w:val="clear" w:color="auto" w:fill="FFFFFF"/>
        </w:rPr>
        <w:t>, H. (2015). Risk factors for DSM 5 PTSD symptoms in Israeli civilians during the Gaza war. Brain and behavior, 5(4</w:t>
      </w:r>
      <w:proofErr w:type="gramStart"/>
      <w:r w:rsidRPr="00DB164F">
        <w:rPr>
          <w:rFonts w:asciiTheme="majorBidi" w:hAnsiTheme="majorBidi" w:cstheme="majorBidi"/>
          <w:sz w:val="24"/>
          <w:szCs w:val="24"/>
          <w:shd w:val="clear" w:color="auto" w:fill="FFFFFF"/>
        </w:rPr>
        <w:t>).</w:t>
      </w:r>
      <w:r w:rsidRPr="00DB164F">
        <w:rPr>
          <w:rFonts w:asciiTheme="majorBidi" w:hAnsiTheme="majorBidi" w:cstheme="majorBidi"/>
          <w:sz w:val="24"/>
          <w:szCs w:val="24"/>
          <w:shd w:val="clear" w:color="auto" w:fill="FFFFFF"/>
          <w:rtl/>
        </w:rPr>
        <w:t>‏</w:t>
      </w:r>
      <w:proofErr w:type="gramEnd"/>
    </w:p>
    <w:p w14:paraId="71CBC83C"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proofErr w:type="spellStart"/>
      <w:r w:rsidRPr="00DB164F">
        <w:rPr>
          <w:rFonts w:asciiTheme="majorBidi" w:hAnsiTheme="majorBidi" w:cstheme="majorBidi"/>
          <w:sz w:val="24"/>
          <w:szCs w:val="24"/>
        </w:rPr>
        <w:t>Hobfoll</w:t>
      </w:r>
      <w:proofErr w:type="spellEnd"/>
      <w:r w:rsidRPr="00DB164F">
        <w:rPr>
          <w:rFonts w:asciiTheme="majorBidi" w:hAnsiTheme="majorBidi" w:cstheme="majorBidi"/>
          <w:sz w:val="24"/>
          <w:szCs w:val="24"/>
        </w:rPr>
        <w:t>, S. E. (2001). The influence of culture, community, and the nested‐self in the stress process: Advancing conservation of resources theory. Applied Psychology, 50(3), 337–421.</w:t>
      </w:r>
    </w:p>
    <w:p w14:paraId="31CD924B"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proofErr w:type="spellStart"/>
      <w:r w:rsidRPr="00DB164F">
        <w:rPr>
          <w:rFonts w:asciiTheme="majorBidi" w:hAnsiTheme="majorBidi" w:cstheme="majorBidi"/>
          <w:sz w:val="24"/>
          <w:szCs w:val="24"/>
        </w:rPr>
        <w:t>Hobfoll</w:t>
      </w:r>
      <w:proofErr w:type="spellEnd"/>
      <w:r w:rsidRPr="00DB164F">
        <w:rPr>
          <w:rFonts w:asciiTheme="majorBidi" w:hAnsiTheme="majorBidi" w:cstheme="majorBidi"/>
          <w:sz w:val="24"/>
          <w:szCs w:val="24"/>
        </w:rPr>
        <w:t xml:space="preserve">, S. E. (2002). Social and psychological resources and adaptation. Review of General Psychology, 6(4), 307–324. </w:t>
      </w:r>
    </w:p>
    <w:p w14:paraId="367221AF" w14:textId="77777777" w:rsidR="005D2464" w:rsidRPr="00DB164F" w:rsidRDefault="005D2464" w:rsidP="006B3432">
      <w:pPr>
        <w:autoSpaceDE w:val="0"/>
        <w:autoSpaceDN w:val="0"/>
        <w:bidi w:val="0"/>
        <w:adjustRightInd w:val="0"/>
        <w:spacing w:after="0" w:line="360" w:lineRule="auto"/>
        <w:ind w:left="720" w:hanging="720"/>
        <w:jc w:val="both"/>
        <w:rPr>
          <w:rFonts w:asciiTheme="majorBidi" w:hAnsiTheme="majorBidi" w:cstheme="majorBidi"/>
          <w:sz w:val="24"/>
          <w:szCs w:val="24"/>
          <w:shd w:val="clear" w:color="auto" w:fill="FFFFFF"/>
        </w:rPr>
      </w:pPr>
    </w:p>
    <w:p w14:paraId="538319A1" w14:textId="77777777" w:rsidR="005D2464" w:rsidRPr="00DF5DD9" w:rsidRDefault="005D2464" w:rsidP="006B3432">
      <w:pPr>
        <w:autoSpaceDE w:val="0"/>
        <w:autoSpaceDN w:val="0"/>
        <w:bidi w:val="0"/>
        <w:adjustRightInd w:val="0"/>
        <w:spacing w:after="0" w:line="360" w:lineRule="auto"/>
        <w:ind w:left="720" w:hanging="720"/>
        <w:jc w:val="both"/>
        <w:rPr>
          <w:rFonts w:asciiTheme="majorBidi" w:hAnsiTheme="majorBidi" w:cstheme="majorBidi"/>
          <w:b/>
          <w:bCs/>
          <w:sz w:val="24"/>
          <w:szCs w:val="24"/>
          <w:u w:val="single"/>
          <w:shd w:val="clear" w:color="auto" w:fill="FFFFFF"/>
        </w:rPr>
      </w:pPr>
      <w:r w:rsidRPr="00DF5DD9">
        <w:rPr>
          <w:rFonts w:asciiTheme="majorBidi" w:hAnsiTheme="majorBidi" w:cstheme="majorBidi"/>
          <w:b/>
          <w:bCs/>
          <w:sz w:val="24"/>
          <w:szCs w:val="24"/>
          <w:u w:val="single"/>
          <w:shd w:val="clear" w:color="auto" w:fill="FFFFFF"/>
        </w:rPr>
        <w:t>Short Bio</w:t>
      </w:r>
    </w:p>
    <w:p w14:paraId="677B1445" w14:textId="77777777" w:rsidR="005D2464" w:rsidRPr="00DB164F" w:rsidRDefault="005D2464" w:rsidP="006B3432">
      <w:pPr>
        <w:bidi w:val="0"/>
        <w:spacing w:after="0" w:line="360" w:lineRule="auto"/>
        <w:jc w:val="both"/>
        <w:rPr>
          <w:rFonts w:asciiTheme="majorBidi" w:eastAsia="SimSun" w:hAnsiTheme="majorBidi" w:cstheme="majorBidi"/>
          <w:sz w:val="24"/>
          <w:szCs w:val="24"/>
        </w:rPr>
      </w:pPr>
      <w:r w:rsidRPr="00DB164F">
        <w:rPr>
          <w:rFonts w:asciiTheme="majorBidi" w:eastAsia="SimSun" w:hAnsiTheme="majorBidi" w:cstheme="majorBidi"/>
          <w:b/>
          <w:bCs/>
          <w:sz w:val="24"/>
          <w:szCs w:val="24"/>
        </w:rPr>
        <w:t>Michael Weinberg</w:t>
      </w:r>
      <w:r w:rsidRPr="00DB164F">
        <w:rPr>
          <w:rFonts w:asciiTheme="majorBidi" w:eastAsia="SimSun" w:hAnsiTheme="majorBidi" w:cstheme="majorBidi"/>
          <w:sz w:val="24"/>
          <w:szCs w:val="24"/>
        </w:rPr>
        <w:t xml:space="preserve"> is the head of the M.A and Supplementary studies in School of Social Work, Faculty of Social Welfare and Health Sciences, University of Haifa. In addition, he is the head of the trauma</w:t>
      </w:r>
      <w:r w:rsidRPr="00DB164F">
        <w:rPr>
          <w:rFonts w:asciiTheme="majorBidi" w:hAnsiTheme="majorBidi" w:cstheme="majorBidi"/>
          <w:sz w:val="24"/>
          <w:szCs w:val="24"/>
        </w:rPr>
        <w:t xml:space="preserve"> </w:t>
      </w:r>
      <w:r w:rsidRPr="00DB164F">
        <w:rPr>
          <w:rFonts w:asciiTheme="majorBidi" w:eastAsia="SimSun" w:hAnsiTheme="majorBidi" w:cstheme="majorBidi"/>
          <w:sz w:val="24"/>
          <w:szCs w:val="24"/>
        </w:rPr>
        <w:t xml:space="preserve">social work specialization in the MA program. His research focuses on exploring the coping process with stress and trauma (e.g. terror attacks, traumatic events, war etc.). Within this line of work, he examined the survivor, </w:t>
      </w:r>
      <w:r w:rsidRPr="00DB164F">
        <w:rPr>
          <w:rFonts w:asciiTheme="majorBidi" w:eastAsia="SimSun" w:hAnsiTheme="majorBidi" w:cstheme="majorBidi"/>
          <w:sz w:val="24"/>
          <w:szCs w:val="24"/>
        </w:rPr>
        <w:lastRenderedPageBreak/>
        <w:t xml:space="preserve">the spouse, their bidirectional relationships and the general population. His research also focuses on the secondary trauma experienced by therapists and undergraduate students providing psychological and emotional assistance to trauma survivors. In addition, he is involved in research projects which are aimed at exploring the traumatic bereavement trajectories following a traumatic and violent death of a child. Michael Weinberg has published over 20 articles in peer reviewed journals and book chapters concerning coping with trauma and stress. </w:t>
      </w:r>
    </w:p>
    <w:p w14:paraId="77C592A6" w14:textId="77777777" w:rsidR="005D2464" w:rsidRPr="00DB164F" w:rsidRDefault="005D2464" w:rsidP="006B3432">
      <w:pPr>
        <w:autoSpaceDE w:val="0"/>
        <w:autoSpaceDN w:val="0"/>
        <w:bidi w:val="0"/>
        <w:adjustRightInd w:val="0"/>
        <w:spacing w:after="0" w:line="360" w:lineRule="auto"/>
        <w:ind w:hanging="720"/>
        <w:jc w:val="both"/>
        <w:rPr>
          <w:rFonts w:asciiTheme="majorBidi" w:hAnsiTheme="majorBidi" w:cstheme="majorBidi"/>
          <w:b/>
          <w:bCs/>
          <w:sz w:val="24"/>
          <w:szCs w:val="24"/>
          <w:shd w:val="clear" w:color="auto" w:fill="FFFFFF"/>
        </w:rPr>
      </w:pPr>
    </w:p>
    <w:p w14:paraId="7197E69C" w14:textId="11158809" w:rsidR="00456A84" w:rsidRPr="00DB164F" w:rsidRDefault="005D2464" w:rsidP="006B3432">
      <w:pPr>
        <w:bidi w:val="0"/>
        <w:spacing w:after="0" w:line="360" w:lineRule="auto"/>
        <w:jc w:val="both"/>
        <w:rPr>
          <w:rFonts w:asciiTheme="majorBidi" w:hAnsiTheme="majorBidi" w:cstheme="majorBidi"/>
          <w:sz w:val="24"/>
          <w:szCs w:val="24"/>
        </w:rPr>
      </w:pPr>
      <w:proofErr w:type="spellStart"/>
      <w:r w:rsidRPr="00DB164F">
        <w:rPr>
          <w:rFonts w:asciiTheme="majorBidi" w:hAnsiTheme="majorBidi" w:cstheme="majorBidi"/>
          <w:b/>
          <w:bCs/>
          <w:sz w:val="24"/>
          <w:szCs w:val="24"/>
        </w:rPr>
        <w:t>Avi</w:t>
      </w:r>
      <w:proofErr w:type="spellEnd"/>
      <w:r w:rsidRPr="00DB164F">
        <w:rPr>
          <w:rFonts w:asciiTheme="majorBidi" w:hAnsiTheme="majorBidi" w:cstheme="majorBidi"/>
          <w:b/>
          <w:bCs/>
          <w:sz w:val="24"/>
          <w:szCs w:val="24"/>
        </w:rPr>
        <w:t xml:space="preserve"> Besser</w:t>
      </w:r>
      <w:r w:rsidRPr="00DB164F">
        <w:rPr>
          <w:rFonts w:asciiTheme="majorBidi" w:hAnsiTheme="majorBidi" w:cstheme="majorBidi"/>
          <w:sz w:val="24"/>
          <w:szCs w:val="24"/>
        </w:rPr>
        <w:t xml:space="preserve"> </w:t>
      </w:r>
      <w:r w:rsidR="0046630D" w:rsidRPr="00DB164F">
        <w:rPr>
          <w:rFonts w:asciiTheme="majorBidi" w:hAnsiTheme="majorBidi" w:cstheme="majorBidi"/>
          <w:sz w:val="24"/>
          <w:szCs w:val="24"/>
        </w:rPr>
        <w:t>is a Full Professor of Psychology at Sapir Academic College, Israel</w:t>
      </w:r>
      <w:r w:rsidR="00456A84" w:rsidRPr="00DB164F">
        <w:rPr>
          <w:rFonts w:asciiTheme="majorBidi" w:hAnsiTheme="majorBidi" w:cstheme="majorBidi"/>
          <w:sz w:val="24"/>
          <w:szCs w:val="24"/>
        </w:rPr>
        <w:t xml:space="preserve"> and the Chairman of the Center for Research in Personality, Life Transitions, and Stressful Life Events and serves as the Vice President for Academic Affairs. He has edited a book on the psychology of narcissism and authored several book chapters as well as nearly 110 peer-reviewed journal articles in outlets such as Journal of Personality, Personality and Individual Differences, Journal of Research in Personality, American Journal of Psychiatry, Personality and Social Psychology Bulletin, Journal of Social and Clinical Psychology, Psychoanalytic Psychology, Journal of Traumatic Stress, Psychiatry: Interpersonal and Biological Processes</w:t>
      </w:r>
      <w:r w:rsidR="00456A84" w:rsidRPr="00DB164F">
        <w:rPr>
          <w:rFonts w:asciiTheme="majorBidi" w:hAnsiTheme="majorBidi" w:cstheme="majorBidi"/>
          <w:sz w:val="24"/>
          <w:szCs w:val="24"/>
          <w:lang w:val="nl-NL"/>
        </w:rPr>
        <w:t xml:space="preserve">, </w:t>
      </w:r>
      <w:r w:rsidR="00456A84" w:rsidRPr="00DB164F">
        <w:rPr>
          <w:rFonts w:asciiTheme="majorBidi" w:hAnsiTheme="majorBidi" w:cstheme="majorBidi"/>
          <w:sz w:val="24"/>
          <w:szCs w:val="24"/>
        </w:rPr>
        <w:t>and more. Dr. Besser serves as Ad-Hoc reviewer and on the editorial board of several journals. His level of productivity is outstanding, and he established himself as an exceptional researcher at the international level.  In all, his work has been cited over 4,500 times. </w:t>
      </w:r>
      <w:r w:rsidR="00DB164F" w:rsidRPr="00DB164F" w:rsidDel="00DB164F">
        <w:rPr>
          <w:rFonts w:asciiTheme="majorBidi" w:hAnsiTheme="majorBidi" w:cstheme="majorBidi"/>
          <w:sz w:val="24"/>
          <w:szCs w:val="24"/>
        </w:rPr>
        <w:t xml:space="preserve"> </w:t>
      </w:r>
    </w:p>
    <w:p w14:paraId="61495F6E" w14:textId="77777777" w:rsidR="0046630D" w:rsidRPr="00DB164F" w:rsidRDefault="0046630D" w:rsidP="006B3432">
      <w:pPr>
        <w:bidi w:val="0"/>
        <w:spacing w:after="0" w:line="360" w:lineRule="auto"/>
        <w:jc w:val="both"/>
        <w:rPr>
          <w:rFonts w:asciiTheme="majorBidi" w:hAnsiTheme="majorBidi" w:cstheme="majorBidi"/>
          <w:sz w:val="24"/>
          <w:szCs w:val="24"/>
        </w:rPr>
      </w:pPr>
    </w:p>
    <w:p w14:paraId="71D8F162" w14:textId="77777777" w:rsidR="00F826CE" w:rsidRPr="00DB164F" w:rsidRDefault="00F826CE" w:rsidP="006B3432">
      <w:pPr>
        <w:bidi w:val="0"/>
        <w:spacing w:after="0" w:line="360" w:lineRule="auto"/>
        <w:jc w:val="both"/>
        <w:outlineLvl w:val="1"/>
        <w:rPr>
          <w:rFonts w:asciiTheme="majorBidi" w:hAnsiTheme="majorBidi" w:cstheme="majorBidi"/>
          <w:sz w:val="24"/>
          <w:szCs w:val="24"/>
          <w:shd w:val="clear" w:color="auto" w:fill="FFFFFF"/>
        </w:rPr>
      </w:pPr>
      <w:r w:rsidRPr="00DB164F">
        <w:rPr>
          <w:rFonts w:asciiTheme="majorBidi" w:hAnsiTheme="majorBidi" w:cstheme="majorBidi"/>
          <w:b/>
          <w:bCs/>
          <w:sz w:val="24"/>
          <w:szCs w:val="24"/>
          <w:shd w:val="clear" w:color="auto" w:fill="FFFFFF"/>
        </w:rPr>
        <w:t>Sharon Gil</w:t>
      </w:r>
      <w:r w:rsidRPr="00DB164F">
        <w:rPr>
          <w:rFonts w:asciiTheme="majorBidi" w:hAnsiTheme="majorBidi" w:cstheme="majorBidi"/>
          <w:sz w:val="24"/>
          <w:szCs w:val="24"/>
          <w:shd w:val="clear" w:color="auto" w:fill="FFFFFF"/>
        </w:rPr>
        <w:t xml:space="preserve"> is a clinical social worker, psychotherapist, and clinical supervisor; senior lecturer at the School of Social Work, University of Haifa; head of the clinical social work specialization in the MA program. My research projects have consistently derived from my clinical work. While working at the psychiatric clinic in Rambam Medical Center, I treated trauma patients. Accordingly, my doctoral research and the publications that followed (see sample list below), focused on the relationship between dissociative amnesia, caused by traumatic head injury, and the development of PTSD. Later, I have expanded my research to include various personality features as risk factors for subsequent PTSD. In recent years, both my clinical work and my research efforts focus on adults' survivors of childhood sexual abuse. Below is a sample list of recent or most contributing publications. </w:t>
      </w:r>
    </w:p>
    <w:p w14:paraId="2AB14280" w14:textId="20233487" w:rsidR="00FA5E7A" w:rsidRDefault="00FA5E7A" w:rsidP="006B3432">
      <w:pPr>
        <w:bidi w:val="0"/>
        <w:spacing w:after="0" w:line="360" w:lineRule="auto"/>
        <w:jc w:val="both"/>
        <w:outlineLvl w:val="1"/>
        <w:rPr>
          <w:rFonts w:asciiTheme="majorBidi" w:hAnsiTheme="majorBidi" w:cstheme="majorBidi"/>
          <w:sz w:val="24"/>
          <w:szCs w:val="24"/>
        </w:rPr>
      </w:pPr>
    </w:p>
    <w:p w14:paraId="01A2D3CC" w14:textId="7F0C938C" w:rsidR="00066828" w:rsidRPr="00DB164F" w:rsidRDefault="00066828" w:rsidP="00DF5DD9">
      <w:pPr>
        <w:bidi w:val="0"/>
        <w:spacing w:after="200" w:line="360" w:lineRule="auto"/>
        <w:jc w:val="both"/>
        <w:rPr>
          <w:rFonts w:asciiTheme="majorBidi" w:hAnsiTheme="majorBidi" w:cstheme="majorBidi"/>
          <w:sz w:val="24"/>
          <w:szCs w:val="24"/>
        </w:rPr>
      </w:pPr>
      <w:proofErr w:type="spellStart"/>
      <w:r w:rsidRPr="00066828">
        <w:rPr>
          <w:rFonts w:ascii="Times New Roman" w:eastAsia="SimSun" w:hAnsi="Times New Roman" w:cs="Times New Roman"/>
          <w:b/>
          <w:bCs/>
          <w:sz w:val="24"/>
          <w:szCs w:val="24"/>
        </w:rPr>
        <w:lastRenderedPageBreak/>
        <w:t>Erez</w:t>
      </w:r>
      <w:proofErr w:type="spellEnd"/>
      <w:r w:rsidRPr="00066828">
        <w:rPr>
          <w:rFonts w:ascii="Times New Roman" w:eastAsia="SimSun" w:hAnsi="Times New Roman" w:cs="Times New Roman"/>
          <w:b/>
          <w:bCs/>
          <w:sz w:val="24"/>
          <w:szCs w:val="24"/>
        </w:rPr>
        <w:t xml:space="preserve"> </w:t>
      </w:r>
      <w:proofErr w:type="spellStart"/>
      <w:r w:rsidRPr="00066828">
        <w:rPr>
          <w:rFonts w:ascii="Times New Roman" w:eastAsia="SimSun" w:hAnsi="Times New Roman" w:cs="Times New Roman"/>
          <w:b/>
          <w:bCs/>
          <w:sz w:val="24"/>
          <w:szCs w:val="24"/>
        </w:rPr>
        <w:t>Finzi</w:t>
      </w:r>
      <w:proofErr w:type="spellEnd"/>
      <w:r w:rsidRPr="00066828">
        <w:rPr>
          <w:rFonts w:ascii="Times New Roman" w:eastAsia="SimSun" w:hAnsi="Times New Roman" w:cs="Times New Roman"/>
          <w:sz w:val="24"/>
          <w:szCs w:val="24"/>
        </w:rPr>
        <w:t xml:space="preserve"> received a BSW in Social Work from Tel-Hai collage in </w:t>
      </w:r>
      <w:proofErr w:type="spellStart"/>
      <w:r w:rsidRPr="00066828">
        <w:rPr>
          <w:rFonts w:ascii="Times New Roman" w:eastAsia="SimSun" w:hAnsi="Times New Roman" w:cs="Times New Roman"/>
          <w:sz w:val="24"/>
          <w:szCs w:val="24"/>
        </w:rPr>
        <w:t>Kiryat</w:t>
      </w:r>
      <w:proofErr w:type="spellEnd"/>
      <w:r w:rsidRPr="00066828">
        <w:rPr>
          <w:rFonts w:ascii="Times New Roman" w:eastAsia="SimSun" w:hAnsi="Times New Roman" w:cs="Times New Roman"/>
          <w:sz w:val="24"/>
          <w:szCs w:val="24"/>
        </w:rPr>
        <w:t xml:space="preserve"> </w:t>
      </w:r>
      <w:proofErr w:type="spellStart"/>
      <w:r w:rsidRPr="00066828">
        <w:rPr>
          <w:rFonts w:ascii="Times New Roman" w:eastAsia="SimSun" w:hAnsi="Times New Roman" w:cs="Times New Roman"/>
          <w:sz w:val="24"/>
          <w:szCs w:val="24"/>
        </w:rPr>
        <w:t>Shmona</w:t>
      </w:r>
      <w:proofErr w:type="spellEnd"/>
      <w:r w:rsidRPr="00066828">
        <w:rPr>
          <w:rFonts w:ascii="Times New Roman" w:eastAsia="SimSun" w:hAnsi="Times New Roman" w:cs="Times New Roman"/>
          <w:sz w:val="24"/>
          <w:szCs w:val="24"/>
        </w:rPr>
        <w:t xml:space="preserve">, Israel in 2009, and an MSW majoring in Clinical Social Work from Haifa University, Israel in 2015. By 2016 he started the Pre-PhD Program. In 2017 </w:t>
      </w:r>
      <w:proofErr w:type="spellStart"/>
      <w:r w:rsidRPr="00066828">
        <w:rPr>
          <w:rFonts w:ascii="Times New Roman" w:eastAsia="SimSun" w:hAnsi="Times New Roman" w:cs="Times New Roman"/>
          <w:sz w:val="24"/>
          <w:szCs w:val="24"/>
        </w:rPr>
        <w:t>Erez</w:t>
      </w:r>
      <w:proofErr w:type="spellEnd"/>
      <w:r w:rsidRPr="00066828">
        <w:rPr>
          <w:rFonts w:ascii="Times New Roman" w:eastAsia="SimSun" w:hAnsi="Times New Roman" w:cs="Times New Roman"/>
          <w:sz w:val="24"/>
          <w:szCs w:val="24"/>
        </w:rPr>
        <w:t xml:space="preserve"> started his PhD study at Haifa University, School of Social Work, Faculty of Social Welfare and Health Sciences. </w:t>
      </w:r>
      <w:proofErr w:type="spellStart"/>
      <w:r w:rsidRPr="00066828">
        <w:rPr>
          <w:rFonts w:ascii="Times New Roman" w:eastAsia="SimSun" w:hAnsi="Times New Roman" w:cs="Times New Roman"/>
          <w:sz w:val="24"/>
          <w:szCs w:val="24"/>
        </w:rPr>
        <w:t>Erez's</w:t>
      </w:r>
      <w:proofErr w:type="spellEnd"/>
      <w:r w:rsidRPr="00066828">
        <w:rPr>
          <w:rFonts w:ascii="Times New Roman" w:eastAsia="SimSun" w:hAnsi="Times New Roman" w:cs="Times New Roman"/>
          <w:sz w:val="24"/>
          <w:szCs w:val="24"/>
        </w:rPr>
        <w:t xml:space="preserve"> thesis, titled </w:t>
      </w:r>
      <w:r w:rsidRPr="00066828">
        <w:rPr>
          <w:rFonts w:ascii="Times New Roman" w:eastAsia="Calibri" w:hAnsi="Times New Roman" w:cs="David"/>
          <w:sz w:val="24"/>
          <w:szCs w:val="24"/>
        </w:rPr>
        <w:t xml:space="preserve">The Unspoken Emotional Experience in Sexual Fantasies and in Realistic Sexual Practice, </w:t>
      </w:r>
      <w:r w:rsidRPr="00066828">
        <w:rPr>
          <w:rFonts w:ascii="Times New Roman" w:eastAsia="SimSun" w:hAnsi="Times New Roman" w:cs="Times New Roman"/>
          <w:sz w:val="24"/>
          <w:szCs w:val="24"/>
        </w:rPr>
        <w:t xml:space="preserve">focuses primarily on the subjective experience and its interpretation by individuals </w:t>
      </w:r>
      <w:proofErr w:type="gramStart"/>
      <w:r w:rsidRPr="00066828">
        <w:rPr>
          <w:rFonts w:ascii="Times New Roman" w:eastAsia="SimSun" w:hAnsi="Times New Roman" w:cs="Times New Roman"/>
          <w:sz w:val="24"/>
          <w:szCs w:val="24"/>
        </w:rPr>
        <w:t>in today’s society</w:t>
      </w:r>
      <w:proofErr w:type="gramEnd"/>
      <w:r w:rsidRPr="00066828">
        <w:rPr>
          <w:rFonts w:ascii="Times New Roman" w:eastAsia="SimSun" w:hAnsi="Times New Roman" w:cs="Times New Roman"/>
          <w:sz w:val="24"/>
          <w:szCs w:val="24"/>
        </w:rPr>
        <w:t xml:space="preserve">. </w:t>
      </w:r>
      <w:proofErr w:type="spellStart"/>
      <w:r w:rsidRPr="00066828">
        <w:rPr>
          <w:rFonts w:ascii="Times New Roman" w:eastAsia="Calibri" w:hAnsi="Times New Roman" w:cs="David"/>
          <w:sz w:val="24"/>
          <w:szCs w:val="24"/>
        </w:rPr>
        <w:t>Erez</w:t>
      </w:r>
      <w:proofErr w:type="spellEnd"/>
      <w:r w:rsidRPr="00066828">
        <w:rPr>
          <w:rFonts w:ascii="Times New Roman" w:eastAsia="Calibri" w:hAnsi="Times New Roman" w:cs="David"/>
          <w:sz w:val="24"/>
          <w:szCs w:val="24"/>
        </w:rPr>
        <w:t xml:space="preserve"> has a </w:t>
      </w:r>
      <w:r w:rsidRPr="00D06CC1">
        <w:rPr>
          <w:rFonts w:ascii="Times New Roman" w:eastAsia="Calibri" w:hAnsi="Times New Roman" w:cs="David"/>
          <w:sz w:val="24"/>
          <w:szCs w:val="24"/>
        </w:rPr>
        <w:t>9-year</w:t>
      </w:r>
      <w:r w:rsidRPr="00066828">
        <w:rPr>
          <w:rFonts w:ascii="Times New Roman" w:eastAsia="Calibri" w:hAnsi="Times New Roman" w:cs="David"/>
          <w:sz w:val="24"/>
          <w:szCs w:val="24"/>
        </w:rPr>
        <w:t xml:space="preserve"> experience working in the field with </w:t>
      </w:r>
      <w:proofErr w:type="gramStart"/>
      <w:r w:rsidRPr="00066828">
        <w:rPr>
          <w:rFonts w:ascii="Times New Roman" w:eastAsia="Calibri" w:hAnsi="Times New Roman" w:cs="David"/>
          <w:sz w:val="24"/>
          <w:szCs w:val="24"/>
        </w:rPr>
        <w:t>different types</w:t>
      </w:r>
      <w:proofErr w:type="gramEnd"/>
      <w:r w:rsidRPr="00066828">
        <w:rPr>
          <w:rFonts w:ascii="Times New Roman" w:eastAsia="Calibri" w:hAnsi="Times New Roman" w:cs="David"/>
          <w:sz w:val="24"/>
          <w:szCs w:val="24"/>
        </w:rPr>
        <w:t xml:space="preserve"> of population, e.g. endangered children and youth, mental health adult patients and elderly population within a retirement home. He also runs a private therapy clinic.</w:t>
      </w:r>
      <w:bookmarkStart w:id="0" w:name="_GoBack"/>
      <w:bookmarkEnd w:id="0"/>
    </w:p>
    <w:sectPr w:rsidR="00066828" w:rsidRPr="00DB164F" w:rsidSect="00A76D7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FD8"/>
    <w:rsid w:val="0001282F"/>
    <w:rsid w:val="00066828"/>
    <w:rsid w:val="000D5FD8"/>
    <w:rsid w:val="00107528"/>
    <w:rsid w:val="00227DB6"/>
    <w:rsid w:val="00406783"/>
    <w:rsid w:val="00456A84"/>
    <w:rsid w:val="0046630D"/>
    <w:rsid w:val="00587F2D"/>
    <w:rsid w:val="005D2464"/>
    <w:rsid w:val="006B3432"/>
    <w:rsid w:val="006E2555"/>
    <w:rsid w:val="007B5B98"/>
    <w:rsid w:val="007D4913"/>
    <w:rsid w:val="00A76D7D"/>
    <w:rsid w:val="00B4787B"/>
    <w:rsid w:val="00BF3805"/>
    <w:rsid w:val="00C35334"/>
    <w:rsid w:val="00C52E37"/>
    <w:rsid w:val="00C560C4"/>
    <w:rsid w:val="00D06CC1"/>
    <w:rsid w:val="00D15F26"/>
    <w:rsid w:val="00D60B94"/>
    <w:rsid w:val="00DB164F"/>
    <w:rsid w:val="00DE0280"/>
    <w:rsid w:val="00DF5DD9"/>
    <w:rsid w:val="00F826CE"/>
    <w:rsid w:val="00FA5E7A"/>
    <w:rsid w:val="00FA6D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E0721"/>
  <w15:chartTrackingRefBased/>
  <w15:docId w15:val="{0631C0C2-451F-4BC3-86B2-B4C39890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D2464"/>
    <w:rPr>
      <w:color w:val="0563C1" w:themeColor="hyperlink"/>
      <w:u w:val="single"/>
    </w:rPr>
  </w:style>
  <w:style w:type="character" w:styleId="a3">
    <w:name w:val="Unresolved Mention"/>
    <w:basedOn w:val="a0"/>
    <w:uiPriority w:val="99"/>
    <w:semiHidden/>
    <w:unhideWhenUsed/>
    <w:rsid w:val="005D2464"/>
    <w:rPr>
      <w:color w:val="808080"/>
      <w:shd w:val="clear" w:color="auto" w:fill="E6E6E6"/>
    </w:rPr>
  </w:style>
  <w:style w:type="paragraph" w:styleId="a4">
    <w:name w:val="Balloon Text"/>
    <w:basedOn w:val="a"/>
    <w:link w:val="a5"/>
    <w:uiPriority w:val="99"/>
    <w:semiHidden/>
    <w:unhideWhenUsed/>
    <w:rsid w:val="00456A84"/>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456A84"/>
    <w:rPr>
      <w:rFonts w:ascii="Tahoma" w:hAnsi="Tahoma" w:cs="Tahoma"/>
      <w:sz w:val="18"/>
      <w:szCs w:val="18"/>
    </w:rPr>
  </w:style>
  <w:style w:type="character" w:styleId="a6">
    <w:name w:val="annotation reference"/>
    <w:basedOn w:val="a0"/>
    <w:uiPriority w:val="99"/>
    <w:semiHidden/>
    <w:unhideWhenUsed/>
    <w:rsid w:val="00456A84"/>
    <w:rPr>
      <w:sz w:val="16"/>
      <w:szCs w:val="16"/>
    </w:rPr>
  </w:style>
  <w:style w:type="paragraph" w:styleId="a7">
    <w:name w:val="annotation text"/>
    <w:basedOn w:val="a"/>
    <w:link w:val="a8"/>
    <w:uiPriority w:val="99"/>
    <w:semiHidden/>
    <w:unhideWhenUsed/>
    <w:rsid w:val="00456A84"/>
    <w:pPr>
      <w:spacing w:line="240" w:lineRule="auto"/>
    </w:pPr>
    <w:rPr>
      <w:sz w:val="20"/>
      <w:szCs w:val="20"/>
    </w:rPr>
  </w:style>
  <w:style w:type="character" w:customStyle="1" w:styleId="a8">
    <w:name w:val="טקסט הערה תו"/>
    <w:basedOn w:val="a0"/>
    <w:link w:val="a7"/>
    <w:uiPriority w:val="99"/>
    <w:semiHidden/>
    <w:rsid w:val="00456A84"/>
    <w:rPr>
      <w:sz w:val="20"/>
      <w:szCs w:val="20"/>
    </w:rPr>
  </w:style>
  <w:style w:type="paragraph" w:styleId="a9">
    <w:name w:val="annotation subject"/>
    <w:basedOn w:val="a7"/>
    <w:next w:val="a7"/>
    <w:link w:val="aa"/>
    <w:uiPriority w:val="99"/>
    <w:semiHidden/>
    <w:unhideWhenUsed/>
    <w:rsid w:val="00456A84"/>
    <w:rPr>
      <w:b/>
      <w:bCs/>
    </w:rPr>
  </w:style>
  <w:style w:type="character" w:customStyle="1" w:styleId="aa">
    <w:name w:val="נושא הערה תו"/>
    <w:basedOn w:val="a8"/>
    <w:link w:val="a9"/>
    <w:uiPriority w:val="99"/>
    <w:semiHidden/>
    <w:rsid w:val="00456A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1847">
      <w:bodyDiv w:val="1"/>
      <w:marLeft w:val="0"/>
      <w:marRight w:val="0"/>
      <w:marTop w:val="0"/>
      <w:marBottom w:val="0"/>
      <w:divBdr>
        <w:top w:val="none" w:sz="0" w:space="0" w:color="auto"/>
        <w:left w:val="none" w:sz="0" w:space="0" w:color="auto"/>
        <w:bottom w:val="none" w:sz="0" w:space="0" w:color="auto"/>
        <w:right w:val="none" w:sz="0" w:space="0" w:color="auto"/>
      </w:divBdr>
    </w:div>
    <w:div w:id="172888597">
      <w:bodyDiv w:val="1"/>
      <w:marLeft w:val="0"/>
      <w:marRight w:val="0"/>
      <w:marTop w:val="0"/>
      <w:marBottom w:val="0"/>
      <w:divBdr>
        <w:top w:val="none" w:sz="0" w:space="0" w:color="auto"/>
        <w:left w:val="none" w:sz="0" w:space="0" w:color="auto"/>
        <w:bottom w:val="none" w:sz="0" w:space="0" w:color="auto"/>
        <w:right w:val="none" w:sz="0" w:space="0" w:color="auto"/>
      </w:divBdr>
    </w:div>
    <w:div w:id="176384842">
      <w:bodyDiv w:val="1"/>
      <w:marLeft w:val="0"/>
      <w:marRight w:val="0"/>
      <w:marTop w:val="0"/>
      <w:marBottom w:val="0"/>
      <w:divBdr>
        <w:top w:val="none" w:sz="0" w:space="0" w:color="auto"/>
        <w:left w:val="none" w:sz="0" w:space="0" w:color="auto"/>
        <w:bottom w:val="none" w:sz="0" w:space="0" w:color="auto"/>
        <w:right w:val="none" w:sz="0" w:space="0" w:color="auto"/>
      </w:divBdr>
      <w:divsChild>
        <w:div w:id="292633873">
          <w:marLeft w:val="0"/>
          <w:marRight w:val="0"/>
          <w:marTop w:val="0"/>
          <w:marBottom w:val="0"/>
          <w:divBdr>
            <w:top w:val="none" w:sz="0" w:space="0" w:color="auto"/>
            <w:left w:val="none" w:sz="0" w:space="0" w:color="auto"/>
            <w:bottom w:val="none" w:sz="0" w:space="0" w:color="auto"/>
            <w:right w:val="none" w:sz="0" w:space="0" w:color="auto"/>
          </w:divBdr>
          <w:divsChild>
            <w:div w:id="1172571043">
              <w:marLeft w:val="-225"/>
              <w:marRight w:val="-225"/>
              <w:marTop w:val="0"/>
              <w:marBottom w:val="0"/>
              <w:divBdr>
                <w:top w:val="none" w:sz="0" w:space="0" w:color="auto"/>
                <w:left w:val="none" w:sz="0" w:space="0" w:color="auto"/>
                <w:bottom w:val="none" w:sz="0" w:space="0" w:color="auto"/>
                <w:right w:val="none" w:sz="0" w:space="0" w:color="auto"/>
              </w:divBdr>
              <w:divsChild>
                <w:div w:id="463085585">
                  <w:marLeft w:val="0"/>
                  <w:marRight w:val="0"/>
                  <w:marTop w:val="0"/>
                  <w:marBottom w:val="0"/>
                  <w:divBdr>
                    <w:top w:val="none" w:sz="0" w:space="0" w:color="auto"/>
                    <w:left w:val="none" w:sz="0" w:space="0" w:color="auto"/>
                    <w:bottom w:val="none" w:sz="0" w:space="0" w:color="auto"/>
                    <w:right w:val="none" w:sz="0" w:space="0" w:color="auto"/>
                  </w:divBdr>
                  <w:divsChild>
                    <w:div w:id="735476007">
                      <w:marLeft w:val="0"/>
                      <w:marRight w:val="0"/>
                      <w:marTop w:val="0"/>
                      <w:marBottom w:val="0"/>
                      <w:divBdr>
                        <w:top w:val="none" w:sz="0" w:space="0" w:color="auto"/>
                        <w:left w:val="none" w:sz="0" w:space="0" w:color="auto"/>
                        <w:bottom w:val="none" w:sz="0" w:space="0" w:color="auto"/>
                        <w:right w:val="none" w:sz="0" w:space="0" w:color="auto"/>
                      </w:divBdr>
                    </w:div>
                    <w:div w:id="190907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29359">
          <w:marLeft w:val="0"/>
          <w:marRight w:val="0"/>
          <w:marTop w:val="0"/>
          <w:marBottom w:val="0"/>
          <w:divBdr>
            <w:top w:val="none" w:sz="0" w:space="0" w:color="auto"/>
            <w:left w:val="none" w:sz="0" w:space="0" w:color="auto"/>
            <w:bottom w:val="none" w:sz="0" w:space="0" w:color="auto"/>
            <w:right w:val="none" w:sz="0" w:space="0" w:color="auto"/>
          </w:divBdr>
          <w:divsChild>
            <w:div w:id="14372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3278">
      <w:bodyDiv w:val="1"/>
      <w:marLeft w:val="0"/>
      <w:marRight w:val="0"/>
      <w:marTop w:val="0"/>
      <w:marBottom w:val="0"/>
      <w:divBdr>
        <w:top w:val="none" w:sz="0" w:space="0" w:color="auto"/>
        <w:left w:val="none" w:sz="0" w:space="0" w:color="auto"/>
        <w:bottom w:val="none" w:sz="0" w:space="0" w:color="auto"/>
        <w:right w:val="none" w:sz="0" w:space="0" w:color="auto"/>
      </w:divBdr>
    </w:div>
    <w:div w:id="2051999738">
      <w:bodyDiv w:val="1"/>
      <w:marLeft w:val="0"/>
      <w:marRight w:val="0"/>
      <w:marTop w:val="0"/>
      <w:marBottom w:val="0"/>
      <w:divBdr>
        <w:top w:val="none" w:sz="0" w:space="0" w:color="auto"/>
        <w:left w:val="none" w:sz="0" w:space="0" w:color="auto"/>
        <w:bottom w:val="none" w:sz="0" w:space="0" w:color="auto"/>
        <w:right w:val="none" w:sz="0" w:space="0" w:color="auto"/>
      </w:divBdr>
    </w:div>
    <w:div w:id="211825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6292</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גיל</dc:creator>
  <cp:keywords/>
  <dc:description/>
  <cp:lastModifiedBy>שרון גיל</cp:lastModifiedBy>
  <cp:revision>2</cp:revision>
  <dcterms:created xsi:type="dcterms:W3CDTF">2018-02-19T04:20:00Z</dcterms:created>
  <dcterms:modified xsi:type="dcterms:W3CDTF">2018-02-19T04:20:00Z</dcterms:modified>
</cp:coreProperties>
</file>