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912" w:rsidRPr="00675912" w:rsidRDefault="00D8514D" w:rsidP="00D8514D">
      <w:pPr>
        <w:spacing w:line="480" w:lineRule="auto"/>
        <w:jc w:val="both"/>
        <w:rPr>
          <w:b/>
          <w:sz w:val="20"/>
          <w:szCs w:val="20"/>
        </w:rPr>
      </w:pPr>
      <w:bookmarkStart w:id="0" w:name="_GoBack"/>
      <w:r w:rsidRPr="00675912">
        <w:rPr>
          <w:b/>
          <w:sz w:val="20"/>
          <w:szCs w:val="20"/>
        </w:rPr>
        <w:t xml:space="preserve">Consensus </w:t>
      </w:r>
      <w:proofErr w:type="spellStart"/>
      <w:r w:rsidRPr="00675912">
        <w:rPr>
          <w:b/>
          <w:sz w:val="20"/>
          <w:szCs w:val="20"/>
        </w:rPr>
        <w:t>Multiparametric</w:t>
      </w:r>
      <w:proofErr w:type="spellEnd"/>
      <w:r w:rsidRPr="00675912">
        <w:rPr>
          <w:b/>
          <w:sz w:val="20"/>
          <w:szCs w:val="20"/>
        </w:rPr>
        <w:t xml:space="preserve"> Phylogeny of Prokaryotic Aminoacyl-</w:t>
      </w:r>
      <w:proofErr w:type="spellStart"/>
      <w:r w:rsidRPr="00675912">
        <w:rPr>
          <w:b/>
          <w:sz w:val="20"/>
          <w:szCs w:val="20"/>
        </w:rPr>
        <w:t>tRNA</w:t>
      </w:r>
      <w:proofErr w:type="spellEnd"/>
      <w:r w:rsidRPr="00675912">
        <w:rPr>
          <w:b/>
          <w:sz w:val="20"/>
          <w:szCs w:val="20"/>
        </w:rPr>
        <w:t xml:space="preserve"> </w:t>
      </w:r>
      <w:proofErr w:type="spellStart"/>
      <w:r w:rsidRPr="00675912">
        <w:rPr>
          <w:b/>
          <w:sz w:val="20"/>
          <w:szCs w:val="20"/>
        </w:rPr>
        <w:t>Synthetase</w:t>
      </w:r>
      <w:proofErr w:type="spellEnd"/>
      <w:r w:rsidRPr="00675912">
        <w:rPr>
          <w:b/>
          <w:sz w:val="20"/>
          <w:szCs w:val="20"/>
        </w:rPr>
        <w:t xml:space="preserve"> Sequences by Euclidean Geometry of All-Pairs Distances</w:t>
      </w:r>
      <w:r w:rsidR="00675912" w:rsidRPr="00675912">
        <w:rPr>
          <w:b/>
          <w:sz w:val="20"/>
          <w:szCs w:val="20"/>
        </w:rPr>
        <w:t>.</w:t>
      </w:r>
      <w:r w:rsidRPr="00675912">
        <w:rPr>
          <w:b/>
          <w:sz w:val="20"/>
          <w:szCs w:val="20"/>
        </w:rPr>
        <w:t xml:space="preserve"> </w:t>
      </w:r>
    </w:p>
    <w:p w:rsidR="00D8514D" w:rsidRPr="00675912" w:rsidRDefault="00D8514D" w:rsidP="00675912">
      <w:pPr>
        <w:spacing w:line="480" w:lineRule="auto"/>
        <w:ind w:firstLine="720"/>
        <w:jc w:val="both"/>
        <w:rPr>
          <w:b/>
          <w:sz w:val="20"/>
          <w:szCs w:val="20"/>
        </w:rPr>
      </w:pPr>
      <w:proofErr w:type="spellStart"/>
      <w:r w:rsidRPr="00675912">
        <w:rPr>
          <w:b/>
          <w:sz w:val="20"/>
          <w:szCs w:val="20"/>
        </w:rPr>
        <w:t>Rhishikesh</w:t>
      </w:r>
      <w:proofErr w:type="spellEnd"/>
      <w:r w:rsidRPr="00675912">
        <w:rPr>
          <w:b/>
          <w:sz w:val="20"/>
          <w:szCs w:val="20"/>
        </w:rPr>
        <w:t xml:space="preserve"> </w:t>
      </w:r>
      <w:proofErr w:type="spellStart"/>
      <w:r w:rsidRPr="00675912">
        <w:rPr>
          <w:b/>
          <w:sz w:val="20"/>
          <w:szCs w:val="20"/>
        </w:rPr>
        <w:t>Bargaje</w:t>
      </w:r>
      <w:proofErr w:type="spellEnd"/>
      <w:r w:rsidRPr="00675912">
        <w:rPr>
          <w:b/>
          <w:sz w:val="20"/>
          <w:szCs w:val="20"/>
        </w:rPr>
        <w:t xml:space="preserve">, M. Milner Kumar and Sohan </w:t>
      </w:r>
      <w:proofErr w:type="spellStart"/>
      <w:r w:rsidRPr="00675912">
        <w:rPr>
          <w:b/>
          <w:sz w:val="20"/>
          <w:szCs w:val="20"/>
        </w:rPr>
        <w:t>Prabhakar</w:t>
      </w:r>
      <w:proofErr w:type="spellEnd"/>
      <w:r w:rsidRPr="00675912">
        <w:rPr>
          <w:b/>
          <w:sz w:val="20"/>
          <w:szCs w:val="20"/>
        </w:rPr>
        <w:t xml:space="preserve"> Modak</w:t>
      </w:r>
      <w:r w:rsidRPr="00675912">
        <w:rPr>
          <w:b/>
          <w:sz w:val="20"/>
          <w:szCs w:val="20"/>
          <w:vertAlign w:val="superscript"/>
        </w:rPr>
        <w:t>1</w:t>
      </w:r>
    </w:p>
    <w:p w:rsidR="00D8514D" w:rsidRPr="00D8514D" w:rsidRDefault="00D8514D" w:rsidP="00D8514D">
      <w:pPr>
        <w:spacing w:line="480" w:lineRule="auto"/>
        <w:jc w:val="both"/>
        <w:rPr>
          <w:b/>
        </w:rPr>
      </w:pPr>
      <w:r w:rsidRPr="00675912">
        <w:rPr>
          <w:sz w:val="20"/>
          <w:szCs w:val="20"/>
        </w:rPr>
        <w:t>Open Vision, Computational Research Laboratory, 759/75 Deccan Gymkhana, Pune 411004, India</w:t>
      </w:r>
      <w:r>
        <w:t xml:space="preserve">. </w:t>
      </w:r>
    </w:p>
    <w:p w:rsidR="00D8514D" w:rsidRPr="00675912" w:rsidRDefault="00D8514D" w:rsidP="00D8514D">
      <w:pPr>
        <w:spacing w:line="480" w:lineRule="auto"/>
        <w:jc w:val="both"/>
        <w:rPr>
          <w:sz w:val="20"/>
          <w:szCs w:val="20"/>
        </w:rPr>
      </w:pPr>
      <w:r w:rsidRPr="00675912">
        <w:rPr>
          <w:b/>
          <w:sz w:val="20"/>
          <w:szCs w:val="20"/>
        </w:rPr>
        <w:t>Abstract</w:t>
      </w:r>
    </w:p>
    <w:p w:rsidR="00D8514D" w:rsidRPr="00675912" w:rsidRDefault="00D8514D" w:rsidP="00D8514D">
      <w:pPr>
        <w:spacing w:line="480" w:lineRule="auto"/>
        <w:jc w:val="both"/>
        <w:rPr>
          <w:sz w:val="20"/>
          <w:szCs w:val="20"/>
        </w:rPr>
      </w:pPr>
      <w:r w:rsidRPr="00675912">
        <w:rPr>
          <w:sz w:val="20"/>
          <w:szCs w:val="20"/>
        </w:rPr>
        <w:t xml:space="preserve">Molecular phylogenetic trees are constructed on the basis of the extent of closeness or similarity of sequences of single protein or gene among a set of organisms. The tree topology for monogenic traits among the same set of organisms varies and does not mimic taxonomic hierarchy, hence the need to generate consensus phylogeny. Phylogenetic trees were constructed after multiple sequence alignment of 15 aminoacyl- </w:t>
      </w:r>
      <w:proofErr w:type="spellStart"/>
      <w:r w:rsidRPr="00675912">
        <w:rPr>
          <w:sz w:val="20"/>
          <w:szCs w:val="20"/>
        </w:rPr>
        <w:t>tRNA</w:t>
      </w:r>
      <w:proofErr w:type="spellEnd"/>
      <w:r w:rsidRPr="00675912">
        <w:rPr>
          <w:sz w:val="20"/>
          <w:szCs w:val="20"/>
        </w:rPr>
        <w:t xml:space="preserve"> </w:t>
      </w:r>
      <w:proofErr w:type="spellStart"/>
      <w:r w:rsidRPr="00675912">
        <w:rPr>
          <w:sz w:val="20"/>
          <w:szCs w:val="20"/>
        </w:rPr>
        <w:t>synthetases</w:t>
      </w:r>
      <w:proofErr w:type="spellEnd"/>
      <w:r w:rsidRPr="00675912">
        <w:rPr>
          <w:sz w:val="20"/>
          <w:szCs w:val="20"/>
        </w:rPr>
        <w:t xml:space="preserve"> from 119 prokaryotes representing 2 phyla under Archaea and 11 under Bacteria. Topology of individual NJ trees varied among different </w:t>
      </w:r>
      <w:proofErr w:type="spellStart"/>
      <w:r w:rsidRPr="00675912">
        <w:rPr>
          <w:sz w:val="20"/>
          <w:szCs w:val="20"/>
        </w:rPr>
        <w:t>tRNA</w:t>
      </w:r>
      <w:proofErr w:type="spellEnd"/>
      <w:r w:rsidRPr="00675912">
        <w:rPr>
          <w:sz w:val="20"/>
          <w:szCs w:val="20"/>
        </w:rPr>
        <w:t xml:space="preserve"> </w:t>
      </w:r>
      <w:proofErr w:type="spellStart"/>
      <w:r w:rsidRPr="00675912">
        <w:rPr>
          <w:sz w:val="20"/>
          <w:szCs w:val="20"/>
        </w:rPr>
        <w:t>synthetases</w:t>
      </w:r>
      <w:proofErr w:type="spellEnd"/>
      <w:r w:rsidRPr="00675912">
        <w:rPr>
          <w:sz w:val="20"/>
          <w:szCs w:val="20"/>
        </w:rPr>
        <w:t xml:space="preserve">. We use Euclidean geometry for estimating all </w:t>
      </w:r>
      <w:proofErr w:type="gramStart"/>
      <w:r w:rsidRPr="00675912">
        <w:rPr>
          <w:sz w:val="20"/>
          <w:szCs w:val="20"/>
        </w:rPr>
        <w:t>pairs</w:t>
      </w:r>
      <w:proofErr w:type="gramEnd"/>
      <w:r w:rsidRPr="00675912">
        <w:rPr>
          <w:sz w:val="20"/>
          <w:szCs w:val="20"/>
        </w:rPr>
        <w:t xml:space="preserve"> distances to construct phylogenetic trees. Further, using a novel algorithm to estimates clade by clade similarity between the phylogenetic tree and the taxonomic tree, we find that the multi-</w:t>
      </w:r>
      <w:proofErr w:type="spellStart"/>
      <w:r w:rsidRPr="00675912">
        <w:rPr>
          <w:sz w:val="20"/>
          <w:szCs w:val="20"/>
        </w:rPr>
        <w:t>phenic</w:t>
      </w:r>
      <w:proofErr w:type="spellEnd"/>
      <w:r w:rsidRPr="00675912">
        <w:rPr>
          <w:sz w:val="20"/>
          <w:szCs w:val="20"/>
        </w:rPr>
        <w:t xml:space="preserve"> Euclidean trees exhibit best consensus and greater closeness to taxonomic trees. Although tree topologies of concatenated sequences give a consensus representation, tree topologies are affected by changing the order of sequence ligation. Consensus phylogenetic tree </w:t>
      </w:r>
      <w:r w:rsidR="00A513A9" w:rsidRPr="00675912">
        <w:rPr>
          <w:sz w:val="20"/>
          <w:szCs w:val="20"/>
        </w:rPr>
        <w:t xml:space="preserve">based on </w:t>
      </w:r>
      <w:r w:rsidRPr="00675912">
        <w:rPr>
          <w:sz w:val="20"/>
          <w:szCs w:val="20"/>
        </w:rPr>
        <w:t xml:space="preserve">Euclidean geometry exhibit better taxonomic fidelity than </w:t>
      </w:r>
      <w:r w:rsidR="00A513A9" w:rsidRPr="00675912">
        <w:rPr>
          <w:sz w:val="20"/>
          <w:szCs w:val="20"/>
        </w:rPr>
        <w:t xml:space="preserve">those </w:t>
      </w:r>
      <w:r w:rsidRPr="00675912">
        <w:rPr>
          <w:sz w:val="20"/>
          <w:szCs w:val="20"/>
        </w:rPr>
        <w:t xml:space="preserve">using </w:t>
      </w:r>
      <w:r w:rsidR="00A513A9" w:rsidRPr="00675912">
        <w:rPr>
          <w:sz w:val="20"/>
          <w:szCs w:val="20"/>
        </w:rPr>
        <w:t xml:space="preserve">unique or concatenated </w:t>
      </w:r>
      <w:r w:rsidRPr="00675912">
        <w:rPr>
          <w:sz w:val="20"/>
          <w:szCs w:val="20"/>
        </w:rPr>
        <w:t xml:space="preserve">sequences </w:t>
      </w:r>
      <w:r w:rsidR="00A513A9" w:rsidRPr="00675912">
        <w:rPr>
          <w:sz w:val="20"/>
          <w:szCs w:val="20"/>
        </w:rPr>
        <w:t xml:space="preserve">and vastly superior to those for </w:t>
      </w:r>
      <w:r w:rsidRPr="00675912">
        <w:rPr>
          <w:sz w:val="20"/>
          <w:szCs w:val="20"/>
        </w:rPr>
        <w:t xml:space="preserve">16S rDNA. </w:t>
      </w:r>
    </w:p>
    <w:bookmarkEnd w:id="0"/>
    <w:p w:rsidR="00252144" w:rsidRDefault="00D8514D" w:rsidP="00D8514D">
      <w:r>
        <w:rPr>
          <w:b/>
        </w:rPr>
        <w:br w:type="page"/>
      </w:r>
    </w:p>
    <w:sectPr w:rsidR="002521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4D"/>
    <w:rsid w:val="00252144"/>
    <w:rsid w:val="00675912"/>
    <w:rsid w:val="00A513A9"/>
    <w:rsid w:val="00D8514D"/>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465A2-B170-4B29-AEF9-F7C247F5B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14D"/>
    <w:pPr>
      <w:spacing w:after="0" w:line="240" w:lineRule="auto"/>
    </w:pPr>
    <w:rPr>
      <w:rFonts w:ascii="Times New Roman" w:eastAsia="Times New Roma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Sohan Modak</dc:creator>
  <cp:keywords/>
  <dc:description/>
  <cp:lastModifiedBy>Sohan Modak</cp:lastModifiedBy>
  <cp:revision>2</cp:revision>
  <dcterms:created xsi:type="dcterms:W3CDTF">2017-12-03T17:10:00Z</dcterms:created>
  <dcterms:modified xsi:type="dcterms:W3CDTF">2017-12-03T17:31:00Z</dcterms:modified>
</cp:coreProperties>
</file>