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34C46" w14:textId="61E03623" w:rsidR="00AB0C10" w:rsidRPr="003836DD" w:rsidRDefault="00A46D47" w:rsidP="003836DD">
      <w:pPr>
        <w:jc w:val="center"/>
      </w:pPr>
      <w:r>
        <w:rPr>
          <w:noProof/>
        </w:rPr>
        <w:drawing>
          <wp:inline distT="0" distB="0" distL="0" distR="0" wp14:anchorId="2800BAC2" wp14:editId="15B0C96E">
            <wp:extent cx="1896905" cy="840058"/>
            <wp:effectExtent l="0" t="0" r="8255" b="0"/>
            <wp:docPr id="155881833" name="Picture 1" descr="A close-up of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81833" name="Picture 1" descr="A close-up of a logo&#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15222" cy="848170"/>
                    </a:xfrm>
                    <a:prstGeom prst="rect">
                      <a:avLst/>
                    </a:prstGeom>
                  </pic:spPr>
                </pic:pic>
              </a:graphicData>
            </a:graphic>
          </wp:inline>
        </w:drawing>
      </w:r>
    </w:p>
    <w:p w14:paraId="66A68DDD" w14:textId="77777777" w:rsidR="009858EA" w:rsidRDefault="00AB0C10" w:rsidP="00740959">
      <w:pPr>
        <w:pStyle w:val="ListParagraph"/>
        <w:ind w:left="0"/>
        <w:jc w:val="center"/>
        <w:rPr>
          <w:rFonts w:ascii="Book Antiqua" w:hAnsi="Book Antiqua"/>
          <w:b/>
          <w:bCs/>
          <w:sz w:val="24"/>
          <w:szCs w:val="24"/>
        </w:rPr>
      </w:pPr>
      <w:r>
        <w:rPr>
          <w:rFonts w:ascii="Book Antiqua" w:hAnsi="Book Antiqua"/>
          <w:noProof/>
          <w:sz w:val="24"/>
          <w:szCs w:val="24"/>
        </w:rPr>
        <w:drawing>
          <wp:inline distT="0" distB="0" distL="0" distR="0" wp14:anchorId="12DBA133" wp14:editId="08CB967E">
            <wp:extent cx="1072923" cy="1788001"/>
            <wp:effectExtent l="0" t="0" r="0" b="3175"/>
            <wp:docPr id="2036329730" name="Picture 2" descr="A person sitting at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329730" name="Picture 2" descr="A person sitting at a tabl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055" cy="1798220"/>
                    </a:xfrm>
                    <a:prstGeom prst="rect">
                      <a:avLst/>
                    </a:prstGeom>
                    <a:noFill/>
                  </pic:spPr>
                </pic:pic>
              </a:graphicData>
            </a:graphic>
          </wp:inline>
        </w:drawing>
      </w:r>
    </w:p>
    <w:p w14:paraId="5028F8BA" w14:textId="77777777" w:rsidR="00740959" w:rsidRDefault="00740959" w:rsidP="00740959">
      <w:pPr>
        <w:pStyle w:val="ListParagraph"/>
        <w:ind w:left="0"/>
        <w:jc w:val="center"/>
        <w:rPr>
          <w:rFonts w:ascii="Book Antiqua" w:hAnsi="Book Antiqua"/>
          <w:b/>
          <w:bCs/>
          <w:sz w:val="24"/>
          <w:szCs w:val="24"/>
        </w:rPr>
      </w:pPr>
    </w:p>
    <w:p w14:paraId="7F40CF33" w14:textId="51B6A360" w:rsidR="00AB0C10" w:rsidRDefault="00AB0C10" w:rsidP="009858EA">
      <w:pPr>
        <w:pStyle w:val="ListParagraph"/>
        <w:jc w:val="center"/>
        <w:rPr>
          <w:rFonts w:ascii="Book Antiqua" w:hAnsi="Book Antiqua"/>
          <w:sz w:val="24"/>
          <w:szCs w:val="24"/>
        </w:rPr>
      </w:pPr>
      <w:r w:rsidRPr="00B447F8">
        <w:rPr>
          <w:rFonts w:ascii="Book Antiqua" w:hAnsi="Book Antiqua"/>
          <w:b/>
          <w:bCs/>
          <w:sz w:val="24"/>
          <w:szCs w:val="24"/>
        </w:rPr>
        <w:t>LACY WALKER, RDH, BS, CDA, COSE, MAADH, FAAOSH</w:t>
      </w:r>
    </w:p>
    <w:p w14:paraId="7459C4D8" w14:textId="77777777" w:rsidR="00AB0C10" w:rsidRPr="00904FB8" w:rsidRDefault="00AB0C10" w:rsidP="00CE5B9F">
      <w:pPr>
        <w:pStyle w:val="ListParagraph"/>
        <w:ind w:left="0"/>
        <w:rPr>
          <w:rFonts w:ascii="Book Antiqua" w:hAnsi="Book Antiqua"/>
          <w:sz w:val="24"/>
          <w:szCs w:val="24"/>
        </w:rPr>
      </w:pPr>
    </w:p>
    <w:p w14:paraId="32E19346" w14:textId="75393704" w:rsidR="00AB0C10" w:rsidRDefault="00AB0C10" w:rsidP="00CE5B9F">
      <w:pPr>
        <w:pStyle w:val="ListParagraph"/>
        <w:ind w:left="0"/>
        <w:rPr>
          <w:rFonts w:ascii="Book Antiqua" w:hAnsi="Book Antiqua"/>
          <w:sz w:val="24"/>
          <w:szCs w:val="24"/>
        </w:rPr>
      </w:pPr>
      <w:r w:rsidRPr="00904FB8">
        <w:rPr>
          <w:rFonts w:ascii="Book Antiqua" w:hAnsi="Book Antiqua"/>
          <w:sz w:val="24"/>
          <w:szCs w:val="24"/>
        </w:rPr>
        <w:t>Lacy</w:t>
      </w:r>
      <w:r>
        <w:rPr>
          <w:rFonts w:ascii="Book Antiqua" w:hAnsi="Book Antiqua"/>
          <w:sz w:val="24"/>
          <w:szCs w:val="24"/>
        </w:rPr>
        <w:t xml:space="preserve"> Walker</w:t>
      </w:r>
      <w:r w:rsidRPr="00904FB8">
        <w:rPr>
          <w:rFonts w:ascii="Book Antiqua" w:hAnsi="Book Antiqua"/>
          <w:sz w:val="24"/>
          <w:szCs w:val="24"/>
        </w:rPr>
        <w:t xml:space="preserve"> is a registered dental hygienist, speaker, </w:t>
      </w:r>
      <w:r>
        <w:rPr>
          <w:rFonts w:ascii="Book Antiqua" w:hAnsi="Book Antiqua"/>
          <w:sz w:val="24"/>
          <w:szCs w:val="24"/>
        </w:rPr>
        <w:t>writer</w:t>
      </w:r>
      <w:r w:rsidRPr="00904FB8">
        <w:rPr>
          <w:rFonts w:ascii="Book Antiqua" w:hAnsi="Book Antiqua"/>
          <w:sz w:val="24"/>
          <w:szCs w:val="24"/>
        </w:rPr>
        <w:t>, and Owner of Shared Hygiene, LLC, with 25 years of experience in the dental field working in cosmetic, DSO, periodontal, and</w:t>
      </w:r>
      <w:r w:rsidR="0001319A">
        <w:rPr>
          <w:rFonts w:ascii="Book Antiqua" w:hAnsi="Book Antiqua"/>
          <w:sz w:val="24"/>
          <w:szCs w:val="24"/>
        </w:rPr>
        <w:t xml:space="preserve"> </w:t>
      </w:r>
      <w:r w:rsidR="0001319A" w:rsidRPr="00904FB8">
        <w:rPr>
          <w:rFonts w:ascii="Book Antiqua" w:hAnsi="Book Antiqua"/>
          <w:sz w:val="24"/>
          <w:szCs w:val="24"/>
        </w:rPr>
        <w:t>a psychiatric hospital</w:t>
      </w:r>
      <w:r w:rsidRPr="00904FB8">
        <w:rPr>
          <w:rFonts w:ascii="Book Antiqua" w:hAnsi="Book Antiqua"/>
          <w:sz w:val="24"/>
          <w:szCs w:val="24"/>
        </w:rPr>
        <w:t>. Lacy</w:t>
      </w:r>
      <w:r>
        <w:rPr>
          <w:rFonts w:ascii="Book Antiqua" w:hAnsi="Book Antiqua"/>
          <w:sz w:val="24"/>
          <w:szCs w:val="24"/>
        </w:rPr>
        <w:t xml:space="preserve"> Walker</w:t>
      </w:r>
      <w:r w:rsidRPr="00904FB8">
        <w:rPr>
          <w:rFonts w:ascii="Book Antiqua" w:hAnsi="Book Antiqua"/>
          <w:sz w:val="24"/>
          <w:szCs w:val="24"/>
        </w:rPr>
        <w:t xml:space="preserve"> is the CE Director for </w:t>
      </w:r>
      <w:r w:rsidRPr="0001319A">
        <w:rPr>
          <w:rFonts w:ascii="Book Antiqua" w:hAnsi="Book Antiqua"/>
          <w:i/>
          <w:iCs/>
          <w:sz w:val="24"/>
          <w:szCs w:val="24"/>
        </w:rPr>
        <w:t>A Tale of Two Hygienists</w:t>
      </w:r>
      <w:r w:rsidRPr="00904FB8">
        <w:rPr>
          <w:rFonts w:ascii="Book Antiqua" w:hAnsi="Book Antiqua"/>
          <w:sz w:val="24"/>
          <w:szCs w:val="24"/>
        </w:rPr>
        <w:t xml:space="preserve"> podcast, a Fellow with </w:t>
      </w:r>
      <w:r>
        <w:rPr>
          <w:rFonts w:ascii="Book Antiqua" w:hAnsi="Book Antiqua"/>
          <w:sz w:val="24"/>
          <w:szCs w:val="24"/>
        </w:rPr>
        <w:t>the American Academy of Oral Systemic Health (</w:t>
      </w:r>
      <w:r w:rsidRPr="00904FB8">
        <w:rPr>
          <w:rFonts w:ascii="Book Antiqua" w:hAnsi="Book Antiqua"/>
          <w:sz w:val="24"/>
          <w:szCs w:val="24"/>
        </w:rPr>
        <w:t>AAOSH</w:t>
      </w:r>
      <w:r>
        <w:rPr>
          <w:rFonts w:ascii="Book Antiqua" w:hAnsi="Book Antiqua"/>
          <w:sz w:val="24"/>
          <w:szCs w:val="24"/>
        </w:rPr>
        <w:t>)</w:t>
      </w:r>
      <w:r w:rsidRPr="00904FB8">
        <w:rPr>
          <w:rFonts w:ascii="Book Antiqua" w:hAnsi="Book Antiqua"/>
          <w:sz w:val="24"/>
          <w:szCs w:val="24"/>
        </w:rPr>
        <w:t xml:space="preserve">, </w:t>
      </w:r>
      <w:r w:rsidR="005F12EB">
        <w:rPr>
          <w:rFonts w:ascii="Book Antiqua" w:hAnsi="Book Antiqua"/>
          <w:sz w:val="24"/>
          <w:szCs w:val="24"/>
        </w:rPr>
        <w:t xml:space="preserve">an approved provider of continuing education and </w:t>
      </w:r>
      <w:r w:rsidRPr="00904FB8">
        <w:rPr>
          <w:rFonts w:ascii="Book Antiqua" w:hAnsi="Book Antiqua"/>
          <w:sz w:val="24"/>
          <w:szCs w:val="24"/>
        </w:rPr>
        <w:t>the Public Relations Chair for the American Academy of Dental Hygiene</w:t>
      </w:r>
      <w:r w:rsidR="00CF6D22">
        <w:rPr>
          <w:rFonts w:ascii="Book Antiqua" w:hAnsi="Book Antiqua"/>
          <w:sz w:val="24"/>
          <w:szCs w:val="24"/>
        </w:rPr>
        <w:t xml:space="preserve"> (AADH)</w:t>
      </w:r>
      <w:r w:rsidRPr="00904FB8">
        <w:rPr>
          <w:rFonts w:ascii="Book Antiqua" w:hAnsi="Book Antiqua"/>
          <w:sz w:val="24"/>
          <w:szCs w:val="24"/>
        </w:rPr>
        <w:t>, and one of the founding members of RDH Connect. Lacy</w:t>
      </w:r>
      <w:r w:rsidR="00374AB7">
        <w:rPr>
          <w:rFonts w:ascii="Book Antiqua" w:hAnsi="Book Antiqua"/>
          <w:sz w:val="24"/>
          <w:szCs w:val="24"/>
        </w:rPr>
        <w:t xml:space="preserve"> Walker</w:t>
      </w:r>
      <w:r w:rsidRPr="00904FB8">
        <w:rPr>
          <w:rFonts w:ascii="Book Antiqua" w:hAnsi="Book Antiqua"/>
          <w:sz w:val="24"/>
          <w:szCs w:val="24"/>
        </w:rPr>
        <w:t xml:space="preserve"> </w:t>
      </w:r>
      <w:r w:rsidR="00740E7C">
        <w:rPr>
          <w:rFonts w:ascii="Book Antiqua" w:hAnsi="Book Antiqua"/>
          <w:sz w:val="24"/>
          <w:szCs w:val="24"/>
        </w:rPr>
        <w:t xml:space="preserve">is a </w:t>
      </w:r>
      <w:r w:rsidR="00374AB7">
        <w:rPr>
          <w:rFonts w:ascii="Book Antiqua" w:hAnsi="Book Antiqua"/>
          <w:sz w:val="24"/>
          <w:szCs w:val="24"/>
        </w:rPr>
        <w:t>Certified</w:t>
      </w:r>
      <w:r w:rsidR="00740E7C">
        <w:rPr>
          <w:rFonts w:ascii="Book Antiqua" w:hAnsi="Book Antiqua"/>
          <w:sz w:val="24"/>
          <w:szCs w:val="24"/>
        </w:rPr>
        <w:t xml:space="preserve"> Oral</w:t>
      </w:r>
      <w:r w:rsidR="00374AB7">
        <w:rPr>
          <w:rFonts w:ascii="Book Antiqua" w:hAnsi="Book Antiqua"/>
          <w:sz w:val="24"/>
          <w:szCs w:val="24"/>
        </w:rPr>
        <w:t>-</w:t>
      </w:r>
      <w:r w:rsidR="00740E7C">
        <w:rPr>
          <w:rFonts w:ascii="Book Antiqua" w:hAnsi="Book Antiqua"/>
          <w:sz w:val="24"/>
          <w:szCs w:val="24"/>
        </w:rPr>
        <w:t>Systemic Educator</w:t>
      </w:r>
      <w:r w:rsidRPr="00904FB8">
        <w:rPr>
          <w:rFonts w:ascii="Book Antiqua" w:hAnsi="Book Antiqua"/>
          <w:sz w:val="24"/>
          <w:szCs w:val="24"/>
        </w:rPr>
        <w:t xml:space="preserve"> and is published in </w:t>
      </w:r>
      <w:r w:rsidR="008C1AFC">
        <w:rPr>
          <w:rFonts w:ascii="Book Antiqua" w:hAnsi="Book Antiqua"/>
          <w:sz w:val="24"/>
          <w:szCs w:val="24"/>
        </w:rPr>
        <w:t>RDH Magazine</w:t>
      </w:r>
      <w:r w:rsidRPr="00904FB8">
        <w:rPr>
          <w:rFonts w:ascii="Book Antiqua" w:hAnsi="Book Antiqua"/>
          <w:sz w:val="24"/>
          <w:szCs w:val="24"/>
        </w:rPr>
        <w:t xml:space="preserve">, Dental Academy of Continuing Education, </w:t>
      </w:r>
      <w:proofErr w:type="spellStart"/>
      <w:r w:rsidR="008C1AFC" w:rsidRPr="008C1AFC">
        <w:rPr>
          <w:rFonts w:ascii="Book Antiqua" w:hAnsi="Book Antiqua"/>
          <w:sz w:val="24"/>
          <w:szCs w:val="24"/>
        </w:rPr>
        <w:t>DrBicuspid</w:t>
      </w:r>
      <w:proofErr w:type="spellEnd"/>
      <w:r w:rsidR="008C1AFC">
        <w:rPr>
          <w:rFonts w:ascii="Book Antiqua" w:hAnsi="Book Antiqua"/>
          <w:sz w:val="24"/>
          <w:szCs w:val="24"/>
        </w:rPr>
        <w:t xml:space="preserve">, </w:t>
      </w:r>
      <w:r w:rsidRPr="00904FB8">
        <w:rPr>
          <w:rFonts w:ascii="Book Antiqua" w:hAnsi="Book Antiqua"/>
          <w:sz w:val="24"/>
          <w:szCs w:val="24"/>
        </w:rPr>
        <w:t xml:space="preserve">and </w:t>
      </w:r>
      <w:proofErr w:type="spellStart"/>
      <w:r w:rsidRPr="00904FB8">
        <w:rPr>
          <w:rFonts w:ascii="Book Antiqua" w:hAnsi="Book Antiqua"/>
          <w:sz w:val="24"/>
          <w:szCs w:val="24"/>
        </w:rPr>
        <w:t>RDHConnect</w:t>
      </w:r>
      <w:proofErr w:type="spellEnd"/>
      <w:r w:rsidRPr="00904FB8">
        <w:rPr>
          <w:rFonts w:ascii="Book Antiqua" w:hAnsi="Book Antiqua"/>
          <w:sz w:val="24"/>
          <w:szCs w:val="24"/>
        </w:rPr>
        <w:t xml:space="preserve">. </w:t>
      </w:r>
    </w:p>
    <w:p w14:paraId="59793EA5" w14:textId="1C7FDDB6" w:rsidR="00CE5B9F" w:rsidRPr="00DB0DFE" w:rsidRDefault="00CE5B9F" w:rsidP="008C1AFC">
      <w:pPr>
        <w:jc w:val="center"/>
        <w:rPr>
          <w:rFonts w:ascii="Book Antiqua" w:hAnsi="Book Antiqua"/>
          <w:b/>
          <w:bCs/>
          <w:sz w:val="28"/>
          <w:szCs w:val="28"/>
        </w:rPr>
      </w:pPr>
      <w:r w:rsidRPr="00DB0DFE">
        <w:rPr>
          <w:rFonts w:ascii="Book Antiqua" w:hAnsi="Book Antiqua"/>
          <w:b/>
          <w:bCs/>
          <w:sz w:val="28"/>
          <w:szCs w:val="28"/>
        </w:rPr>
        <w:t xml:space="preserve">Let's Face It: Recognizing Facial &amp; Oral Deficiencies </w:t>
      </w:r>
      <w:r w:rsidR="00853E90" w:rsidRPr="00DB0DFE">
        <w:rPr>
          <w:rFonts w:ascii="Book Antiqua" w:hAnsi="Book Antiqua"/>
          <w:b/>
          <w:bCs/>
          <w:sz w:val="28"/>
          <w:szCs w:val="28"/>
        </w:rPr>
        <w:t>from</w:t>
      </w:r>
      <w:r w:rsidRPr="00DB0DFE">
        <w:rPr>
          <w:rFonts w:ascii="Book Antiqua" w:hAnsi="Book Antiqua"/>
          <w:b/>
          <w:bCs/>
          <w:sz w:val="28"/>
          <w:szCs w:val="28"/>
        </w:rPr>
        <w:t xml:space="preserve"> the Neck Up</w:t>
      </w:r>
    </w:p>
    <w:p w14:paraId="13F378CB" w14:textId="0B577D89" w:rsidR="00CE5B9F" w:rsidRPr="00DB0DFE" w:rsidRDefault="00CE5B9F" w:rsidP="00CE5B9F">
      <w:pPr>
        <w:rPr>
          <w:rFonts w:ascii="Book Antiqua" w:hAnsi="Book Antiqua"/>
          <w:sz w:val="24"/>
          <w:szCs w:val="24"/>
        </w:rPr>
      </w:pPr>
      <w:r w:rsidRPr="00DB0DFE">
        <w:rPr>
          <w:rFonts w:ascii="Book Antiqua" w:hAnsi="Book Antiqua"/>
          <w:sz w:val="24"/>
          <w:szCs w:val="24"/>
        </w:rPr>
        <w:t xml:space="preserve">Have you looked at someone and thought they could be deficient? This course will demonstrate how we can recognize deficiencies in sleep, vitamins, minerals, oxygen, and water by looking at the neck, face, and oral cavity. The face tells a story of how well our airway is currently and while it was developing during childhood, our current dietary </w:t>
      </w:r>
      <w:proofErr w:type="gramStart"/>
      <w:r w:rsidRPr="00DB0DFE">
        <w:rPr>
          <w:rFonts w:ascii="Book Antiqua" w:hAnsi="Book Antiqua"/>
          <w:sz w:val="24"/>
          <w:szCs w:val="24"/>
        </w:rPr>
        <w:t>choices</w:t>
      </w:r>
      <w:proofErr w:type="gramEnd"/>
      <w:r w:rsidRPr="00DB0DFE">
        <w:rPr>
          <w:rFonts w:ascii="Book Antiqua" w:hAnsi="Book Antiqua"/>
          <w:sz w:val="24"/>
          <w:szCs w:val="24"/>
        </w:rPr>
        <w:t xml:space="preserve"> and deficiencies, how well we sleep today, and if we are deficient in obtaining optimal water intake. Many factors are associated with a patient's overall health, and recognizing the facial and oral signs of deficiencies is paramount in helping patients achieve overall health.</w:t>
      </w:r>
    </w:p>
    <w:p w14:paraId="7E6DB652" w14:textId="77777777" w:rsidR="00CE5B9F" w:rsidRPr="00853E90" w:rsidRDefault="00CE5B9F" w:rsidP="008C1AFC">
      <w:pPr>
        <w:jc w:val="center"/>
        <w:rPr>
          <w:rFonts w:ascii="Book Antiqua" w:hAnsi="Book Antiqua"/>
          <w:b/>
          <w:bCs/>
          <w:sz w:val="28"/>
          <w:szCs w:val="28"/>
        </w:rPr>
      </w:pPr>
      <w:r w:rsidRPr="00853E90">
        <w:rPr>
          <w:rFonts w:ascii="Book Antiqua" w:hAnsi="Book Antiqua"/>
          <w:b/>
          <w:bCs/>
          <w:sz w:val="28"/>
          <w:szCs w:val="28"/>
        </w:rPr>
        <w:t>Learning Objectives:</w:t>
      </w:r>
    </w:p>
    <w:p w14:paraId="69DA8583" w14:textId="448D40AA" w:rsidR="00AB0C10" w:rsidRPr="00642989" w:rsidRDefault="00642989" w:rsidP="00642989">
      <w:pPr>
        <w:pStyle w:val="ListParagraph"/>
        <w:numPr>
          <w:ilvl w:val="0"/>
          <w:numId w:val="3"/>
        </w:numPr>
        <w:rPr>
          <w:rFonts w:ascii="Book Antiqua" w:hAnsi="Book Antiqua"/>
          <w:sz w:val="24"/>
          <w:szCs w:val="24"/>
        </w:rPr>
      </w:pPr>
      <w:r w:rsidRPr="00642989">
        <w:rPr>
          <w:rFonts w:ascii="Book Antiqua" w:hAnsi="Book Antiqua"/>
          <w:sz w:val="24"/>
          <w:szCs w:val="24"/>
        </w:rPr>
        <w:t>L</w:t>
      </w:r>
      <w:r w:rsidR="0042502A" w:rsidRPr="00642989">
        <w:rPr>
          <w:rFonts w:ascii="Book Antiqua" w:hAnsi="Book Antiqua"/>
          <w:sz w:val="24"/>
          <w:szCs w:val="24"/>
        </w:rPr>
        <w:t>earn about the various causes and risk factors associated with facial and oral deficiencies</w:t>
      </w:r>
      <w:r w:rsidR="00602B11" w:rsidRPr="00642989">
        <w:rPr>
          <w:rFonts w:ascii="Book Antiqua" w:hAnsi="Book Antiqua"/>
          <w:sz w:val="24"/>
          <w:szCs w:val="24"/>
        </w:rPr>
        <w:t xml:space="preserve"> as it relates to</w:t>
      </w:r>
      <w:r w:rsidR="004E1FDA" w:rsidRPr="00642989">
        <w:rPr>
          <w:rFonts w:ascii="Book Antiqua" w:hAnsi="Book Antiqua"/>
          <w:sz w:val="24"/>
          <w:szCs w:val="24"/>
        </w:rPr>
        <w:t xml:space="preserve"> oral-systemic health</w:t>
      </w:r>
      <w:r w:rsidR="0042502A" w:rsidRPr="00642989">
        <w:rPr>
          <w:rFonts w:ascii="Book Antiqua" w:hAnsi="Book Antiqua"/>
          <w:sz w:val="24"/>
          <w:szCs w:val="24"/>
        </w:rPr>
        <w:t>.</w:t>
      </w:r>
    </w:p>
    <w:p w14:paraId="4DDAB646" w14:textId="3AD7E987" w:rsidR="00771281" w:rsidRPr="00642989" w:rsidRDefault="00771281" w:rsidP="00642989">
      <w:pPr>
        <w:pStyle w:val="ListParagraph"/>
        <w:numPr>
          <w:ilvl w:val="0"/>
          <w:numId w:val="3"/>
        </w:numPr>
        <w:rPr>
          <w:rFonts w:ascii="Book Antiqua" w:hAnsi="Book Antiqua"/>
          <w:sz w:val="24"/>
          <w:szCs w:val="24"/>
        </w:rPr>
      </w:pPr>
      <w:r w:rsidRPr="00642989">
        <w:rPr>
          <w:rFonts w:ascii="Book Antiqua" w:hAnsi="Book Antiqua"/>
          <w:sz w:val="24"/>
          <w:szCs w:val="24"/>
        </w:rPr>
        <w:t>Understand the role of interdisciplinary collaboration among healthcare professionals in treating facial and oral deficiencies.</w:t>
      </w:r>
    </w:p>
    <w:p w14:paraId="4EB63BCB" w14:textId="55CEA86D" w:rsidR="00771281" w:rsidRDefault="00642989" w:rsidP="00642989">
      <w:pPr>
        <w:pStyle w:val="ListParagraph"/>
        <w:numPr>
          <w:ilvl w:val="0"/>
          <w:numId w:val="3"/>
        </w:numPr>
        <w:rPr>
          <w:rFonts w:ascii="Book Antiqua" w:hAnsi="Book Antiqua"/>
          <w:sz w:val="24"/>
          <w:szCs w:val="24"/>
        </w:rPr>
      </w:pPr>
      <w:r w:rsidRPr="00642989">
        <w:rPr>
          <w:rFonts w:ascii="Book Antiqua" w:hAnsi="Book Antiqua"/>
          <w:sz w:val="24"/>
          <w:szCs w:val="24"/>
        </w:rPr>
        <w:t>Discover</w:t>
      </w:r>
      <w:r w:rsidR="00771281" w:rsidRPr="00642989">
        <w:rPr>
          <w:rFonts w:ascii="Book Antiqua" w:hAnsi="Book Antiqua"/>
          <w:sz w:val="24"/>
          <w:szCs w:val="24"/>
        </w:rPr>
        <w:t xml:space="preserve"> preventive measures and oral hygiene practices to minimize the risk of facial and oral deficiencies.</w:t>
      </w:r>
    </w:p>
    <w:p w14:paraId="55F43E4C" w14:textId="33A8B4E5" w:rsidR="00B447F8" w:rsidRPr="00740E7C" w:rsidRDefault="00642989" w:rsidP="00A46D47">
      <w:pPr>
        <w:pStyle w:val="ListParagraph"/>
        <w:numPr>
          <w:ilvl w:val="0"/>
          <w:numId w:val="3"/>
        </w:numPr>
        <w:rPr>
          <w:rFonts w:ascii="Book Antiqua" w:hAnsi="Book Antiqua"/>
          <w:sz w:val="24"/>
          <w:szCs w:val="24"/>
        </w:rPr>
      </w:pPr>
      <w:r w:rsidRPr="00C26778">
        <w:rPr>
          <w:rFonts w:ascii="Book Antiqua" w:hAnsi="Book Antiqua"/>
          <w:sz w:val="24"/>
          <w:szCs w:val="24"/>
        </w:rPr>
        <w:t xml:space="preserve">Assess the dental patient for airway issues that could affect a person's life span. </w:t>
      </w:r>
    </w:p>
    <w:p w14:paraId="2501EC4A" w14:textId="77777777" w:rsidR="00740959" w:rsidRDefault="00740959" w:rsidP="008C1AFC">
      <w:pPr>
        <w:jc w:val="center"/>
        <w:rPr>
          <w:rFonts w:ascii="Book Antiqua" w:hAnsi="Book Antiqua"/>
          <w:b/>
          <w:bCs/>
          <w:sz w:val="24"/>
          <w:szCs w:val="24"/>
        </w:rPr>
      </w:pPr>
    </w:p>
    <w:p w14:paraId="2F707AA7" w14:textId="77777777" w:rsidR="008D0773" w:rsidRDefault="008D0773" w:rsidP="008C1AFC">
      <w:pPr>
        <w:jc w:val="center"/>
        <w:rPr>
          <w:rFonts w:ascii="Book Antiqua" w:hAnsi="Book Antiqua"/>
          <w:b/>
          <w:bCs/>
          <w:sz w:val="28"/>
          <w:szCs w:val="28"/>
        </w:rPr>
      </w:pPr>
    </w:p>
    <w:p w14:paraId="512FDC4D" w14:textId="77777777" w:rsidR="003836DD" w:rsidRDefault="003836DD" w:rsidP="008C1AFC">
      <w:pPr>
        <w:jc w:val="center"/>
        <w:rPr>
          <w:rFonts w:ascii="Book Antiqua" w:hAnsi="Book Antiqua"/>
          <w:b/>
          <w:bCs/>
          <w:sz w:val="28"/>
          <w:szCs w:val="28"/>
        </w:rPr>
      </w:pPr>
    </w:p>
    <w:p w14:paraId="79684727" w14:textId="37DDC087" w:rsidR="00FF3E84" w:rsidRPr="00853E90" w:rsidRDefault="00FF3E84" w:rsidP="008C1AFC">
      <w:pPr>
        <w:jc w:val="center"/>
        <w:rPr>
          <w:rFonts w:ascii="Book Antiqua" w:hAnsi="Book Antiqua"/>
          <w:b/>
          <w:bCs/>
          <w:sz w:val="28"/>
          <w:szCs w:val="28"/>
        </w:rPr>
      </w:pPr>
      <w:r w:rsidRPr="00853E90">
        <w:rPr>
          <w:rFonts w:ascii="Book Antiqua" w:hAnsi="Book Antiqua"/>
          <w:b/>
          <w:bCs/>
          <w:sz w:val="28"/>
          <w:szCs w:val="28"/>
        </w:rPr>
        <w:t>References</w:t>
      </w:r>
    </w:p>
    <w:p w14:paraId="173BCC74" w14:textId="0CA6E8AB" w:rsidR="00FF3E84" w:rsidRDefault="00FF3E84" w:rsidP="00613402">
      <w:pPr>
        <w:pStyle w:val="ListParagraph"/>
        <w:numPr>
          <w:ilvl w:val="0"/>
          <w:numId w:val="1"/>
        </w:numPr>
        <w:ind w:left="360"/>
        <w:rPr>
          <w:rFonts w:ascii="Book Antiqua" w:hAnsi="Book Antiqua"/>
          <w:sz w:val="24"/>
          <w:szCs w:val="24"/>
        </w:rPr>
      </w:pPr>
      <w:r w:rsidRPr="00FF3E84">
        <w:rPr>
          <w:rFonts w:ascii="Book Antiqua" w:hAnsi="Book Antiqua"/>
          <w:sz w:val="24"/>
          <w:szCs w:val="24"/>
        </w:rPr>
        <w:t xml:space="preserve">Brodsky, L. (1989). Modern Assessment of Tonsils and Adenoids. Pediatric Clinics of North America, 36(6), 1551-1569. </w:t>
      </w:r>
      <w:hyperlink r:id="rId9" w:history="1">
        <w:r w:rsidR="007D1079" w:rsidRPr="00A83EFE">
          <w:rPr>
            <w:rStyle w:val="Hyperlink"/>
            <w:rFonts w:ascii="Book Antiqua" w:hAnsi="Book Antiqua"/>
            <w:sz w:val="24"/>
            <w:szCs w:val="24"/>
          </w:rPr>
          <w:t>https://doi.org/10.1016/S0031-3955(16)36806-7</w:t>
        </w:r>
      </w:hyperlink>
    </w:p>
    <w:p w14:paraId="411DCAED" w14:textId="16FA0E84" w:rsidR="007D1079" w:rsidRDefault="007D1079" w:rsidP="00613402">
      <w:pPr>
        <w:pStyle w:val="ListParagraph"/>
        <w:numPr>
          <w:ilvl w:val="0"/>
          <w:numId w:val="1"/>
        </w:numPr>
        <w:ind w:left="360"/>
        <w:rPr>
          <w:rFonts w:ascii="Book Antiqua" w:hAnsi="Book Antiqua"/>
          <w:sz w:val="24"/>
          <w:szCs w:val="24"/>
        </w:rPr>
      </w:pPr>
      <w:r w:rsidRPr="007D1079">
        <w:rPr>
          <w:rFonts w:ascii="Book Antiqua" w:hAnsi="Book Antiqua"/>
          <w:sz w:val="24"/>
          <w:szCs w:val="24"/>
        </w:rPr>
        <w:t xml:space="preserve">APA Dictionary of Psychology: Orthorexia Nervosa (no date) American Psychological Association. Available at: </w:t>
      </w:r>
      <w:hyperlink r:id="rId10" w:history="1">
        <w:r w:rsidRPr="00A83EFE">
          <w:rPr>
            <w:rStyle w:val="Hyperlink"/>
            <w:rFonts w:ascii="Book Antiqua" w:hAnsi="Book Antiqua"/>
            <w:sz w:val="24"/>
            <w:szCs w:val="24"/>
          </w:rPr>
          <w:t>https://dictionary.apa.org/orthorexia-nervosa</w:t>
        </w:r>
      </w:hyperlink>
      <w:r w:rsidRPr="007D1079">
        <w:rPr>
          <w:rFonts w:ascii="Book Antiqua" w:hAnsi="Book Antiqua"/>
          <w:sz w:val="24"/>
          <w:szCs w:val="24"/>
        </w:rPr>
        <w:t>.</w:t>
      </w:r>
    </w:p>
    <w:p w14:paraId="057475DB" w14:textId="6499FB72" w:rsidR="007D1079" w:rsidRDefault="00363A0F" w:rsidP="00613402">
      <w:pPr>
        <w:pStyle w:val="ListParagraph"/>
        <w:numPr>
          <w:ilvl w:val="0"/>
          <w:numId w:val="1"/>
        </w:numPr>
        <w:ind w:left="360"/>
        <w:rPr>
          <w:rFonts w:ascii="Book Antiqua" w:hAnsi="Book Antiqua"/>
          <w:sz w:val="24"/>
          <w:szCs w:val="24"/>
        </w:rPr>
      </w:pPr>
      <w:r w:rsidRPr="00363A0F">
        <w:rPr>
          <w:rFonts w:ascii="Book Antiqua" w:hAnsi="Book Antiqua"/>
          <w:sz w:val="24"/>
          <w:szCs w:val="24"/>
        </w:rPr>
        <w:t xml:space="preserve">(2021) Malnutrition. Available at: </w:t>
      </w:r>
      <w:hyperlink r:id="rId11" w:history="1">
        <w:r w:rsidRPr="00A83EFE">
          <w:rPr>
            <w:rStyle w:val="Hyperlink"/>
            <w:rFonts w:ascii="Book Antiqua" w:hAnsi="Book Antiqua"/>
            <w:sz w:val="24"/>
            <w:szCs w:val="24"/>
          </w:rPr>
          <w:t>https://www.hopkinsmedicine.org/health/conditions-and-diseases/malnutrition#:~:text=What%20is%20malnutrition%3F,are%20either%20undernourished%20or%20overnourished</w:t>
        </w:r>
      </w:hyperlink>
      <w:r w:rsidRPr="00363A0F">
        <w:rPr>
          <w:rFonts w:ascii="Book Antiqua" w:hAnsi="Book Antiqua"/>
          <w:sz w:val="24"/>
          <w:szCs w:val="24"/>
        </w:rPr>
        <w:t>.</w:t>
      </w:r>
    </w:p>
    <w:p w14:paraId="234C7315" w14:textId="40D40703" w:rsidR="00363A0F" w:rsidRDefault="00A826B7" w:rsidP="00613402">
      <w:pPr>
        <w:pStyle w:val="ListParagraph"/>
        <w:numPr>
          <w:ilvl w:val="0"/>
          <w:numId w:val="1"/>
        </w:numPr>
        <w:ind w:left="360"/>
        <w:rPr>
          <w:rFonts w:ascii="Book Antiqua" w:hAnsi="Book Antiqua"/>
          <w:sz w:val="24"/>
          <w:szCs w:val="24"/>
        </w:rPr>
      </w:pPr>
      <w:r w:rsidRPr="00A826B7">
        <w:rPr>
          <w:rFonts w:ascii="Book Antiqua" w:hAnsi="Book Antiqua"/>
          <w:sz w:val="24"/>
          <w:szCs w:val="24"/>
        </w:rPr>
        <w:t xml:space="preserve">Botelho, J., Machado, V., </w:t>
      </w:r>
      <w:proofErr w:type="spellStart"/>
      <w:r w:rsidRPr="00A826B7">
        <w:rPr>
          <w:rFonts w:ascii="Book Antiqua" w:hAnsi="Book Antiqua"/>
          <w:sz w:val="24"/>
          <w:szCs w:val="24"/>
        </w:rPr>
        <w:t>Proença</w:t>
      </w:r>
      <w:proofErr w:type="spellEnd"/>
      <w:r w:rsidRPr="00A826B7">
        <w:rPr>
          <w:rFonts w:ascii="Book Antiqua" w:hAnsi="Book Antiqua"/>
          <w:sz w:val="24"/>
          <w:szCs w:val="24"/>
        </w:rPr>
        <w:t xml:space="preserve">, L., Delgado, A. S., &amp; Mendes, J. J. (2020). Vitamin D Deficiency and Oral Health: A Comprehensive Review. Nutrients, 12(5), 1471. </w:t>
      </w:r>
      <w:hyperlink r:id="rId12" w:history="1">
        <w:r w:rsidRPr="00A83EFE">
          <w:rPr>
            <w:rStyle w:val="Hyperlink"/>
            <w:rFonts w:ascii="Book Antiqua" w:hAnsi="Book Antiqua"/>
            <w:sz w:val="24"/>
            <w:szCs w:val="24"/>
          </w:rPr>
          <w:t>https://doi.org/10.3390/nu12051471</w:t>
        </w:r>
      </w:hyperlink>
    </w:p>
    <w:p w14:paraId="30490411" w14:textId="512FDAAB" w:rsidR="008D0773" w:rsidRPr="005F12EB" w:rsidRDefault="007B73A6" w:rsidP="00613402">
      <w:pPr>
        <w:pStyle w:val="ListParagraph"/>
        <w:numPr>
          <w:ilvl w:val="0"/>
          <w:numId w:val="1"/>
        </w:numPr>
        <w:ind w:left="360"/>
        <w:rPr>
          <w:rFonts w:ascii="Book Antiqua" w:hAnsi="Book Antiqua"/>
          <w:sz w:val="24"/>
          <w:szCs w:val="24"/>
        </w:rPr>
      </w:pPr>
      <w:r w:rsidRPr="007B73A6">
        <w:rPr>
          <w:rFonts w:ascii="Book Antiqua" w:hAnsi="Book Antiqua"/>
          <w:sz w:val="24"/>
          <w:szCs w:val="24"/>
        </w:rPr>
        <w:t xml:space="preserve">Management of </w:t>
      </w:r>
      <w:proofErr w:type="spellStart"/>
      <w:r w:rsidRPr="007B73A6">
        <w:rPr>
          <w:rFonts w:ascii="Book Antiqua" w:hAnsi="Book Antiqua"/>
          <w:sz w:val="24"/>
          <w:szCs w:val="24"/>
        </w:rPr>
        <w:t>Bitot’s</w:t>
      </w:r>
      <w:proofErr w:type="spellEnd"/>
      <w:r w:rsidRPr="007B73A6">
        <w:rPr>
          <w:rFonts w:ascii="Book Antiqua" w:hAnsi="Book Antiqua"/>
          <w:sz w:val="24"/>
          <w:szCs w:val="24"/>
        </w:rPr>
        <w:t xml:space="preserve"> spots (2017) American Academy of Ophthalmology. Available at: </w:t>
      </w:r>
      <w:hyperlink r:id="rId13" w:history="1">
        <w:r w:rsidRPr="00A83EFE">
          <w:rPr>
            <w:rStyle w:val="Hyperlink"/>
            <w:rFonts w:ascii="Book Antiqua" w:hAnsi="Book Antiqua"/>
            <w:sz w:val="24"/>
            <w:szCs w:val="24"/>
          </w:rPr>
          <w:t>https://www.aao.org/eyenet/article/management-of-bitot-s-spots#:~:text=Bitot’s%20spots%20are%20typically%20dry,wetted%20by%20the%20tear%20film</w:t>
        </w:r>
      </w:hyperlink>
      <w:r w:rsidRPr="007B73A6">
        <w:rPr>
          <w:rFonts w:ascii="Book Antiqua" w:hAnsi="Book Antiqua"/>
          <w:sz w:val="24"/>
          <w:szCs w:val="24"/>
        </w:rPr>
        <w:t>.</w:t>
      </w:r>
    </w:p>
    <w:p w14:paraId="71101544" w14:textId="77777777" w:rsidR="008D0773" w:rsidRDefault="008D0773" w:rsidP="007B73A6">
      <w:pPr>
        <w:pStyle w:val="ListParagraph"/>
        <w:rPr>
          <w:rFonts w:ascii="Book Antiqua" w:hAnsi="Book Antiqua"/>
          <w:sz w:val="24"/>
          <w:szCs w:val="24"/>
        </w:rPr>
      </w:pPr>
    </w:p>
    <w:p w14:paraId="2FAD5358" w14:textId="77777777" w:rsidR="008D0773" w:rsidRDefault="008D0773" w:rsidP="007B73A6">
      <w:pPr>
        <w:pStyle w:val="ListParagraph"/>
        <w:rPr>
          <w:rFonts w:ascii="Book Antiqua" w:hAnsi="Book Antiqua"/>
          <w:sz w:val="24"/>
          <w:szCs w:val="24"/>
        </w:rPr>
      </w:pPr>
    </w:p>
    <w:p w14:paraId="2FC756E4" w14:textId="77777777" w:rsidR="008D0773" w:rsidRDefault="008D0773" w:rsidP="007B73A6">
      <w:pPr>
        <w:pStyle w:val="ListParagraph"/>
        <w:rPr>
          <w:rFonts w:ascii="Book Antiqua" w:hAnsi="Book Antiqua"/>
          <w:sz w:val="24"/>
          <w:szCs w:val="24"/>
        </w:rPr>
      </w:pPr>
    </w:p>
    <w:p w14:paraId="4CA2B980" w14:textId="0E6CEB73" w:rsidR="008D0773" w:rsidRDefault="008D0773" w:rsidP="008D0773">
      <w:pPr>
        <w:pStyle w:val="ListParagraph"/>
        <w:ind w:left="0"/>
        <w:jc w:val="center"/>
        <w:rPr>
          <w:rFonts w:ascii="Book Antiqua" w:hAnsi="Book Antiqua"/>
          <w:sz w:val="24"/>
          <w:szCs w:val="24"/>
        </w:rPr>
      </w:pPr>
      <w:r>
        <w:rPr>
          <w:rFonts w:ascii="Book Antiqua" w:hAnsi="Book Antiqua"/>
          <w:noProof/>
          <w:sz w:val="24"/>
          <w:szCs w:val="24"/>
        </w:rPr>
        <w:drawing>
          <wp:inline distT="0" distB="0" distL="0" distR="0" wp14:anchorId="03915C32" wp14:editId="296F25BD">
            <wp:extent cx="1957622" cy="811530"/>
            <wp:effectExtent l="0" t="0" r="5080" b="7620"/>
            <wp:docPr id="210213449" name="Picture 3" descr="A close-up of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13449" name="Picture 3" descr="A close-up of a logo&#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01852" cy="829866"/>
                    </a:xfrm>
                    <a:prstGeom prst="rect">
                      <a:avLst/>
                    </a:prstGeom>
                  </pic:spPr>
                </pic:pic>
              </a:graphicData>
            </a:graphic>
          </wp:inline>
        </w:drawing>
      </w:r>
    </w:p>
    <w:tbl>
      <w:tblPr>
        <w:tblW w:w="4865" w:type="pct"/>
        <w:tblCellSpacing w:w="0" w:type="dxa"/>
        <w:shd w:val="clear" w:color="auto" w:fill="FFFFFF"/>
        <w:tblCellMar>
          <w:left w:w="0" w:type="dxa"/>
          <w:right w:w="0" w:type="dxa"/>
        </w:tblCellMar>
        <w:tblLook w:val="04A0" w:firstRow="1" w:lastRow="0" w:firstColumn="1" w:lastColumn="0" w:noHBand="0" w:noVBand="1"/>
      </w:tblPr>
      <w:tblGrid>
        <w:gridCol w:w="9948"/>
      </w:tblGrid>
      <w:tr w:rsidR="00BB2B59" w:rsidRPr="00383A96" w14:paraId="6E7F3153" w14:textId="77777777" w:rsidTr="008D0773">
        <w:trPr>
          <w:trHeight w:val="1638"/>
          <w:tblCellSpacing w:w="0" w:type="dxa"/>
        </w:trPr>
        <w:tc>
          <w:tcPr>
            <w:tcW w:w="0" w:type="auto"/>
            <w:shd w:val="clear" w:color="auto" w:fill="FFFFFF"/>
            <w:tcMar>
              <w:top w:w="0" w:type="dxa"/>
              <w:left w:w="0" w:type="dxa"/>
              <w:bottom w:w="180" w:type="dxa"/>
              <w:right w:w="0" w:type="dxa"/>
            </w:tcMar>
            <w:vAlign w:val="center"/>
            <w:hideMark/>
          </w:tcPr>
          <w:tbl>
            <w:tblPr>
              <w:tblW w:w="4865" w:type="pct"/>
              <w:tblCellSpacing w:w="0" w:type="dxa"/>
              <w:tblCellMar>
                <w:left w:w="0" w:type="dxa"/>
                <w:right w:w="0" w:type="dxa"/>
              </w:tblCellMar>
              <w:tblLook w:val="04A0" w:firstRow="1" w:lastRow="0" w:firstColumn="1" w:lastColumn="0" w:noHBand="0" w:noVBand="1"/>
            </w:tblPr>
            <w:tblGrid>
              <w:gridCol w:w="9679"/>
            </w:tblGrid>
            <w:tr w:rsidR="00BB2B59" w:rsidRPr="00383A96" w14:paraId="4BD70531" w14:textId="77777777" w:rsidTr="00264AFC">
              <w:trPr>
                <w:trHeight w:val="490"/>
                <w:tblCellSpacing w:w="0" w:type="dxa"/>
              </w:trPr>
              <w:tc>
                <w:tcPr>
                  <w:tcW w:w="0" w:type="auto"/>
                  <w:tcMar>
                    <w:top w:w="0" w:type="dxa"/>
                    <w:left w:w="0" w:type="dxa"/>
                    <w:bottom w:w="15" w:type="dxa"/>
                    <w:right w:w="0" w:type="dxa"/>
                  </w:tcMar>
                  <w:vAlign w:val="center"/>
                  <w:hideMark/>
                </w:tcPr>
                <w:p w14:paraId="5558D458" w14:textId="77777777" w:rsidR="00BB2B59" w:rsidRPr="00383A96" w:rsidRDefault="00BB2B59" w:rsidP="00264AFC">
                  <w:pPr>
                    <w:spacing w:after="0" w:line="240" w:lineRule="auto"/>
                    <w:jc w:val="center"/>
                    <w:rPr>
                      <w:rFonts w:ascii="Book Antiqua" w:eastAsia="Times New Roman" w:hAnsi="Book Antiqua" w:cs="Times New Roman"/>
                      <w:color w:val="656565"/>
                      <w:kern w:val="0"/>
                      <w14:ligatures w14:val="none"/>
                    </w:rPr>
                  </w:pPr>
                  <w:r w:rsidRPr="001E5C9B">
                    <w:rPr>
                      <w:rFonts w:ascii="Book Antiqua" w:eastAsia="Times New Roman" w:hAnsi="Book Antiqua" w:cs="Times New Roman"/>
                      <w:b/>
                      <w:bCs/>
                      <w:noProof/>
                      <w:color w:val="656565"/>
                      <w:kern w:val="0"/>
                      <w14:ligatures w14:val="none"/>
                    </w:rPr>
                    <mc:AlternateContent>
                      <mc:Choice Requires="wps">
                        <w:drawing>
                          <wp:inline distT="0" distB="0" distL="0" distR="0" wp14:anchorId="20941E56" wp14:editId="6D5C9358">
                            <wp:extent cx="114300" cy="114300"/>
                            <wp:effectExtent l="0" t="0" r="0" b="0"/>
                            <wp:docPr id="1532613862"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491516" id="Rectangle 3"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gXy0QEAAJ4DAAAOAAAAZHJzL2Uyb0RvYy54bWysU8tu2zAQvBfoPxC817Jc9yVYDoIEKQqk&#10;DyDtB9AUKRGVuOwubdn9+i4px3abW9ALsQ9qdnY4Wl3th17sDJIDX8tyNpfCeA2N820tf3y/e/Ve&#10;CorKN6oHb2p5MCSv1i9frMZQmQV00DcGBYN4qsZQyy7GUBUF6c4MimYQjOemBRxU5BTbokE1MvrQ&#10;F4v5/G0xAjYBQRsirt5OTbnO+NYaHb9aSyaKvpbMLeYT87lJZ7FeqapFFTqnjzTUM1gMynkeeoK6&#10;VVGJLbonUIPTCAQ2zjQMBVjrtMk78Dbl/J9tHjoVTN6FxaFwkon+H6z+snsI3zBRp3AP+icJDzed&#10;8q25psDy8aPKcwkRxs6ohhmUSbtiDFSdMFJCjCY242do+LXVNkKWZW9xSDN4YbHP6h9O6pt9FJqL&#10;Zbl8Pec30tw6xmmCqh4/Dkjxo4FBpKCWyOwyuNrdU5yuPl5Jszzcub7PD9z7vwqMmSqZfOKb3ELV&#10;BpoDc0eYTMKm5qAD/C3FyAapJf3aKjRS9J887/+hXC6To3KyfPNuwQledjaXHeU1Q9UySjGFN3Fy&#10;4Taga7ss88TxmjWzLu9zZnUkyybIihwNm1x2medb599q/QcAAP//AwBQSwMEFAAGAAgAAAAhAJyc&#10;o5XYAAAAAwEAAA8AAABkcnMvZG93bnJldi54bWxMj0FLw0AQhe+C/2EZwYvYjR6kxGyKFMQiQjHV&#10;nqfZaRKanU2z2yT+e6d60MsMjze8+V62mFyrBupD49nA3SwBRVx623Bl4GPzfDsHFSKyxdYzGfii&#10;AIv88iLD1PqR32koYqUkhEOKBuoYu1TrUNbkMMx8Ryze3vcOo8i+0rbHUcJdq++T5EE7bFg+1NjR&#10;sqbyUJycgbFcD9vN24te32xXno+r47L4fDXm+mp6egQVaYp/x3DGF3TIhWnnT2yDag1Ikfgzz95c&#10;1O536zzT/9nzbwAAAP//AwBQSwECLQAUAAYACAAAACEAtoM4kv4AAADhAQAAEwAAAAAAAAAAAAAA&#10;AAAAAAAAW0NvbnRlbnRfVHlwZXNdLnhtbFBLAQItABQABgAIAAAAIQA4/SH/1gAAAJQBAAALAAAA&#10;AAAAAAAAAAAAAC8BAABfcmVscy8ucmVsc1BLAQItABQABgAIAAAAIQA60gXy0QEAAJ4DAAAOAAAA&#10;AAAAAAAAAAAAAC4CAABkcnMvZTJvRG9jLnhtbFBLAQItABQABgAIAAAAIQCcnKOV2AAAAAMBAAAP&#10;AAAAAAAAAAAAAAAAACsEAABkcnMvZG93bnJldi54bWxQSwUGAAAAAAQABADzAAAAMAUAAAAA&#10;" filled="f" stroked="f">
                            <o:lock v:ext="edit" aspectratio="t"/>
                            <w10:anchorlock/>
                          </v:rect>
                        </w:pict>
                      </mc:Fallback>
                    </mc:AlternateContent>
                  </w:r>
                  <w:hyperlink r:id="rId15" w:tgtFrame="_blank" w:history="1">
                    <w:r w:rsidRPr="00383A96">
                      <w:rPr>
                        <w:rFonts w:ascii="Book Antiqua" w:eastAsia="Times New Roman" w:hAnsi="Book Antiqua" w:cs="Times New Roman"/>
                        <w:color w:val="626262"/>
                        <w:kern w:val="0"/>
                        <w:u w:val="single"/>
                        <w14:ligatures w14:val="none"/>
                      </w:rPr>
                      <w:t>www.sharedhygiene.com</w:t>
                    </w:r>
                  </w:hyperlink>
                  <w:r w:rsidRPr="00383A96">
                    <w:rPr>
                      <w:rFonts w:ascii="Book Antiqua" w:eastAsia="Times New Roman" w:hAnsi="Book Antiqua" w:cs="Times New Roman"/>
                      <w:color w:val="656565"/>
                      <w:kern w:val="0"/>
                      <w14:ligatures w14:val="none"/>
                    </w:rPr>
                    <w:br/>
                  </w:r>
                  <w:r w:rsidRPr="001E5C9B">
                    <w:rPr>
                      <w:rFonts w:ascii="Book Antiqua" w:eastAsia="Times New Roman" w:hAnsi="Book Antiqua" w:cs="Times New Roman"/>
                      <w:b/>
                      <w:bCs/>
                      <w:noProof/>
                      <w:color w:val="656565"/>
                      <w:kern w:val="0"/>
                      <w14:ligatures w14:val="none"/>
                    </w:rPr>
                    <mc:AlternateContent>
                      <mc:Choice Requires="wps">
                        <w:drawing>
                          <wp:inline distT="0" distB="0" distL="0" distR="0" wp14:anchorId="138D8976" wp14:editId="37DF3C53">
                            <wp:extent cx="101600" cy="76200"/>
                            <wp:effectExtent l="0" t="0" r="0" b="0"/>
                            <wp:docPr id="471562395"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06542A" id="Rectangle 2" o:spid="_x0000_s1026" style="width:8pt;height: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61S1QEAAJ0DAAAOAAAAZHJzL2Uyb0RvYy54bWysU8Fu2zAMvQ/YPwi6L7aDLN2MOEXRosOA&#10;bivQ7QMUWbKN2aJGKnGyrx8lp0nW3oZdBJGUHx8fn1fX+6EXO4PUgatkMculME5D3bmmkj++37/7&#10;IAUF5WrVgzOVPBiS1+u3b1ajL80cWuhrg4JBHJWjr2Qbgi+zjHRrBkUz8MZx0QIOKnCITVajGhl9&#10;6LN5ni+zEbD2CNoQcfZuKsp1wrfW6PDNWjJB9JVkbiGdmM5NPLP1SpUNKt92+khD/QOLQXWOm56g&#10;7lRQYovdK6ih0wgENsw0DBlY22mTZuBpivzFNE+t8ibNwuKQP8lE/w9Wf909+UeM1Mk/gP5JwsFt&#10;q1xjbsizfLxUeU4hwtgaVTODImqXjZ7KE0YMiNHEZvwCNW9bbQMkWfYWh9iDBxb7pP7hpL7ZB6E5&#10;WeTFMucdaS5dLXm5qYEqn7/1SOGTgUHESyWRySVstXugELmo8vlJbOXgvuv7tN/e/ZXghzGTuEe6&#10;0SxUbqA+MHWEySPsab60gL+lGNkflaRfW4VGiv6z4/E/FotFNFQKFu+v5hzgZWVzWVFOM1QlgxTT&#10;9TZMJtx67Jo2qTxxvGHJbJfmObM6kmUPpDGPfo0mu4zTq/Nftf4DAAD//wMAUEsDBBQABgAIAAAA&#10;IQAE2qXK2QAAAAMBAAAPAAAAZHJzL2Rvd25yZXYueG1sTI9BS8NAEIXvgv9hGcGLtBt7KBKzKVIQ&#10;iwjFVHueZqdJMDubZrdJ/PdOvehlhscb3nwvW02uVQP1ofFs4H6egCIuvW24MvCxe549gAoR2WLr&#10;mQx8U4BVfn2VYWr9yO80FLFSEsIhRQN1jF2qdShrchjmviMW7+h7h1FkX2nb4yjhrtWLJFlqhw3L&#10;hxo7WtdUfhVnZ2Ast8N+9/ait3f7jefT5rQuPl+Nub2Znh5BRZri3zFc8AUdcmE6+DPboFoDUiT+&#10;zou3FHWQvUhA55n+z57/AAAA//8DAFBLAQItABQABgAIAAAAIQC2gziS/gAAAOEBAAATAAAAAAAA&#10;AAAAAAAAAAAAAABbQ29udGVudF9UeXBlc10ueG1sUEsBAi0AFAAGAAgAAAAhADj9If/WAAAAlAEA&#10;AAsAAAAAAAAAAAAAAAAALwEAAF9yZWxzLy5yZWxzUEsBAi0AFAAGAAgAAAAhACfXrVLVAQAAnQMA&#10;AA4AAAAAAAAAAAAAAAAALgIAAGRycy9lMm9Eb2MueG1sUEsBAi0AFAAGAAgAAAAhAATapcrZAAAA&#10;AwEAAA8AAAAAAAAAAAAAAAAALwQAAGRycy9kb3ducmV2LnhtbFBLBQYAAAAABAAEAPMAAAA1BQAA&#10;AAA=&#10;" filled="f" stroked="f">
                            <o:lock v:ext="edit" aspectratio="t"/>
                            <w10:anchorlock/>
                          </v:rect>
                        </w:pict>
                      </mc:Fallback>
                    </mc:AlternateContent>
                  </w:r>
                  <w:r w:rsidRPr="00383A96">
                    <w:rPr>
                      <w:rFonts w:ascii="Book Antiqua" w:eastAsia="Times New Roman" w:hAnsi="Book Antiqua" w:cs="Times New Roman"/>
                      <w:b/>
                      <w:bCs/>
                      <w:color w:val="656565"/>
                      <w:kern w:val="0"/>
                      <w14:ligatures w14:val="none"/>
                    </w:rPr>
                    <w:t> </w:t>
                  </w:r>
                  <w:r w:rsidRPr="00383A96">
                    <w:rPr>
                      <w:rFonts w:ascii="Book Antiqua" w:eastAsia="Times New Roman" w:hAnsi="Book Antiqua" w:cs="Times New Roman"/>
                      <w:color w:val="656565"/>
                      <w:kern w:val="0"/>
                      <w14:ligatures w14:val="none"/>
                    </w:rPr>
                    <w:t>    </w:t>
                  </w:r>
                  <w:hyperlink r:id="rId16" w:tgtFrame="_blank" w:history="1">
                    <w:r w:rsidRPr="00383A96">
                      <w:rPr>
                        <w:rFonts w:ascii="Book Antiqua" w:eastAsia="Times New Roman" w:hAnsi="Book Antiqua" w:cs="Times New Roman"/>
                        <w:color w:val="1155CC"/>
                        <w:kern w:val="0"/>
                        <w:u w:val="single"/>
                        <w14:ligatures w14:val="none"/>
                      </w:rPr>
                      <w:t>sharedhygienellc@gmail.com</w:t>
                    </w:r>
                  </w:hyperlink>
                </w:p>
              </w:tc>
            </w:tr>
          </w:tbl>
          <w:p w14:paraId="12EEFEBF" w14:textId="77777777" w:rsidR="00BB2B59" w:rsidRPr="001E5C9B" w:rsidRDefault="00BB2B59" w:rsidP="00264AFC">
            <w:pPr>
              <w:spacing w:after="0" w:line="240" w:lineRule="auto"/>
              <w:jc w:val="center"/>
              <w:rPr>
                <w:rFonts w:ascii="Book Antiqua" w:eastAsia="Times New Roman" w:hAnsi="Book Antiqua" w:cs="Arial"/>
                <w:color w:val="626262"/>
                <w:kern w:val="0"/>
                <w14:ligatures w14:val="none"/>
              </w:rPr>
            </w:pPr>
            <w:r w:rsidRPr="001E5C9B">
              <w:rPr>
                <w:rFonts w:ascii="Book Antiqua" w:eastAsia="Times New Roman" w:hAnsi="Book Antiqua" w:cs="Arial"/>
                <w:color w:val="626262"/>
                <w:kern w:val="0"/>
                <w14:ligatures w14:val="none"/>
              </w:rPr>
              <w:t>@LacyRDH, @Shygienist</w:t>
            </w:r>
          </w:p>
          <w:p w14:paraId="75AFA5F9" w14:textId="77777777" w:rsidR="00BB2B59" w:rsidRPr="00383A96" w:rsidRDefault="00BB2B59" w:rsidP="00264AFC">
            <w:pPr>
              <w:spacing w:after="0" w:line="240" w:lineRule="auto"/>
              <w:jc w:val="center"/>
              <w:rPr>
                <w:rFonts w:ascii="Book Antiqua" w:eastAsia="Times New Roman" w:hAnsi="Book Antiqua" w:cs="Arial"/>
                <w:color w:val="626262"/>
                <w:kern w:val="0"/>
                <w14:ligatures w14:val="none"/>
              </w:rPr>
            </w:pPr>
            <w:hyperlink r:id="rId17" w:history="1">
              <w:r w:rsidRPr="001E5C9B">
                <w:rPr>
                  <w:rStyle w:val="Hyperlink"/>
                  <w:rFonts w:ascii="Book Antiqua" w:eastAsia="Times New Roman" w:hAnsi="Book Antiqua" w:cs="Arial"/>
                  <w:kern w:val="0"/>
                  <w14:ligatures w14:val="none"/>
                </w:rPr>
                <w:t>L</w:t>
              </w:r>
              <w:r w:rsidRPr="001E5C9B">
                <w:rPr>
                  <w:rStyle w:val="Hyperlink"/>
                  <w:rFonts w:eastAsia="Times New Roman" w:cs="Arial"/>
                  <w:kern w:val="0"/>
                  <w14:ligatures w14:val="none"/>
                </w:rPr>
                <w:t>inkedIn</w:t>
              </w:r>
            </w:hyperlink>
          </w:p>
        </w:tc>
      </w:tr>
    </w:tbl>
    <w:p w14:paraId="6BC314A6" w14:textId="77777777" w:rsidR="007B73A6" w:rsidRDefault="007B73A6" w:rsidP="007B73A6">
      <w:pPr>
        <w:pStyle w:val="ListParagraph"/>
        <w:rPr>
          <w:rFonts w:ascii="Book Antiqua" w:hAnsi="Book Antiqua"/>
          <w:sz w:val="24"/>
          <w:szCs w:val="24"/>
        </w:rPr>
      </w:pPr>
    </w:p>
    <w:p w14:paraId="10FEFBC5" w14:textId="77777777" w:rsidR="00904FB8" w:rsidRPr="00904FB8" w:rsidRDefault="00904FB8" w:rsidP="00904FB8">
      <w:pPr>
        <w:pStyle w:val="ListParagraph"/>
        <w:rPr>
          <w:rFonts w:ascii="Book Antiqua" w:hAnsi="Book Antiqua"/>
          <w:sz w:val="24"/>
          <w:szCs w:val="24"/>
        </w:rPr>
      </w:pPr>
    </w:p>
    <w:sectPr w:rsidR="00904FB8" w:rsidRPr="00904FB8" w:rsidSect="00B447F8">
      <w:footerReference w:type="default" r:id="rId18"/>
      <w:pgSz w:w="12240" w:h="15840"/>
      <w:pgMar w:top="288" w:right="1008" w:bottom="28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62463" w14:textId="77777777" w:rsidR="00613402" w:rsidRDefault="00613402" w:rsidP="00613402">
      <w:pPr>
        <w:spacing w:after="0" w:line="240" w:lineRule="auto"/>
      </w:pPr>
      <w:r>
        <w:separator/>
      </w:r>
    </w:p>
  </w:endnote>
  <w:endnote w:type="continuationSeparator" w:id="0">
    <w:p w14:paraId="4495CC60" w14:textId="77777777" w:rsidR="00613402" w:rsidRDefault="00613402" w:rsidP="00613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19259" w14:textId="77777777" w:rsidR="00613402" w:rsidRDefault="006134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E0196" w14:textId="77777777" w:rsidR="00613402" w:rsidRDefault="00613402" w:rsidP="00613402">
      <w:pPr>
        <w:spacing w:after="0" w:line="240" w:lineRule="auto"/>
      </w:pPr>
      <w:r>
        <w:separator/>
      </w:r>
    </w:p>
  </w:footnote>
  <w:footnote w:type="continuationSeparator" w:id="0">
    <w:p w14:paraId="6276B440" w14:textId="77777777" w:rsidR="00613402" w:rsidRDefault="00613402" w:rsidP="006134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B1E12"/>
    <w:multiLevelType w:val="hybridMultilevel"/>
    <w:tmpl w:val="7F6E1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9D058A"/>
    <w:multiLevelType w:val="hybridMultilevel"/>
    <w:tmpl w:val="6F9E6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EA17A6"/>
    <w:multiLevelType w:val="hybridMultilevel"/>
    <w:tmpl w:val="58704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5320992">
    <w:abstractNumId w:val="2"/>
  </w:num>
  <w:num w:numId="2" w16cid:durableId="78135240">
    <w:abstractNumId w:val="0"/>
  </w:num>
  <w:num w:numId="3" w16cid:durableId="1931429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rIwMTewsDA1sTQ0NTNV0lEKTi0uzszPAykwrAUAtK8xCSwAAAA="/>
  </w:docVars>
  <w:rsids>
    <w:rsidRoot w:val="00A46D47"/>
    <w:rsid w:val="0001319A"/>
    <w:rsid w:val="001D103A"/>
    <w:rsid w:val="00223E7E"/>
    <w:rsid w:val="003615B1"/>
    <w:rsid w:val="00363A0F"/>
    <w:rsid w:val="00374AB7"/>
    <w:rsid w:val="003836DD"/>
    <w:rsid w:val="0042502A"/>
    <w:rsid w:val="004E1FDA"/>
    <w:rsid w:val="00531FBE"/>
    <w:rsid w:val="005F12EB"/>
    <w:rsid w:val="00602B11"/>
    <w:rsid w:val="00613402"/>
    <w:rsid w:val="00642989"/>
    <w:rsid w:val="00740959"/>
    <w:rsid w:val="00740E7C"/>
    <w:rsid w:val="00743DC0"/>
    <w:rsid w:val="00771281"/>
    <w:rsid w:val="007B73A6"/>
    <w:rsid w:val="007D1079"/>
    <w:rsid w:val="00853E90"/>
    <w:rsid w:val="008C1AFC"/>
    <w:rsid w:val="008D0773"/>
    <w:rsid w:val="00904FB8"/>
    <w:rsid w:val="009858EA"/>
    <w:rsid w:val="00A46D47"/>
    <w:rsid w:val="00A72E4D"/>
    <w:rsid w:val="00A826B7"/>
    <w:rsid w:val="00AB0C10"/>
    <w:rsid w:val="00B32E51"/>
    <w:rsid w:val="00B447F8"/>
    <w:rsid w:val="00BB2B59"/>
    <w:rsid w:val="00C26778"/>
    <w:rsid w:val="00C84CBC"/>
    <w:rsid w:val="00CE5B9F"/>
    <w:rsid w:val="00CF6D22"/>
    <w:rsid w:val="00D0063A"/>
    <w:rsid w:val="00D553E1"/>
    <w:rsid w:val="00DB0DFE"/>
    <w:rsid w:val="00FF3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2CF50B3"/>
  <w15:chartTrackingRefBased/>
  <w15:docId w15:val="{29EE6909-E2C5-4EF2-AF11-0712551E8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3E84"/>
    <w:pPr>
      <w:ind w:left="720"/>
      <w:contextualSpacing/>
    </w:pPr>
  </w:style>
  <w:style w:type="character" w:styleId="Hyperlink">
    <w:name w:val="Hyperlink"/>
    <w:basedOn w:val="DefaultParagraphFont"/>
    <w:uiPriority w:val="99"/>
    <w:unhideWhenUsed/>
    <w:rsid w:val="007D1079"/>
    <w:rPr>
      <w:color w:val="0563C1" w:themeColor="hyperlink"/>
      <w:u w:val="single"/>
    </w:rPr>
  </w:style>
  <w:style w:type="character" w:styleId="UnresolvedMention">
    <w:name w:val="Unresolved Mention"/>
    <w:basedOn w:val="DefaultParagraphFont"/>
    <w:uiPriority w:val="99"/>
    <w:semiHidden/>
    <w:unhideWhenUsed/>
    <w:rsid w:val="007D1079"/>
    <w:rPr>
      <w:color w:val="605E5C"/>
      <w:shd w:val="clear" w:color="auto" w:fill="E1DFDD"/>
    </w:rPr>
  </w:style>
  <w:style w:type="paragraph" w:styleId="Header">
    <w:name w:val="header"/>
    <w:basedOn w:val="Normal"/>
    <w:link w:val="HeaderChar"/>
    <w:uiPriority w:val="99"/>
    <w:unhideWhenUsed/>
    <w:rsid w:val="006134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3402"/>
  </w:style>
  <w:style w:type="paragraph" w:styleId="Footer">
    <w:name w:val="footer"/>
    <w:basedOn w:val="Normal"/>
    <w:link w:val="FooterChar"/>
    <w:uiPriority w:val="99"/>
    <w:unhideWhenUsed/>
    <w:rsid w:val="006134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3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aao.org/eyenet/article/management-of-bitot-s-spots#:~:text=Bitot&#8217;s%20spots%20are%20typically%20dry,wetted%20by%20the%20tear%20film"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3390/nu12051471" TargetMode="External"/><Relationship Id="rId17" Type="http://schemas.openxmlformats.org/officeDocument/2006/relationships/hyperlink" Target="https://www.linkedin.com/in/lacy-walker/" TargetMode="External"/><Relationship Id="rId2" Type="http://schemas.openxmlformats.org/officeDocument/2006/relationships/styles" Target="styles.xml"/><Relationship Id="rId16" Type="http://schemas.openxmlformats.org/officeDocument/2006/relationships/hyperlink" Target="mailto:sharedhygienellc@gmail.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opkinsmedicine.org/health/conditions-and-diseases/malnutrition#:~:text=What%20is%20malnutrition%3F,are%20either%20undernourished%20or%20overnourished" TargetMode="External"/><Relationship Id="rId5" Type="http://schemas.openxmlformats.org/officeDocument/2006/relationships/footnotes" Target="footnotes.xml"/><Relationship Id="rId15" Type="http://schemas.openxmlformats.org/officeDocument/2006/relationships/hyperlink" Target="https://www.sharedhygiene.com/" TargetMode="External"/><Relationship Id="rId10" Type="http://schemas.openxmlformats.org/officeDocument/2006/relationships/hyperlink" Target="https://dictionary.apa.org/orthorexia-nervos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16/S0031-3955(16)36806-7"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543</Words>
  <Characters>3101</Characters>
  <Application>Microsoft Office Word</Application>
  <DocSecurity>0</DocSecurity>
  <Lines>25</Lines>
  <Paragraphs>7</Paragraphs>
  <ScaleCrop>false</ScaleCrop>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Lacy Walker</dc:creator>
  <cp:keywords/>
  <dc:description/>
  <cp:lastModifiedBy>Lacy Walker</cp:lastModifiedBy>
  <cp:revision>2</cp:revision>
  <dcterms:created xsi:type="dcterms:W3CDTF">2023-07-03T10:09:00Z</dcterms:created>
  <dcterms:modified xsi:type="dcterms:W3CDTF">2023-07-03T10:09:00Z</dcterms:modified>
</cp:coreProperties>
</file>