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AAAC16" w14:textId="76970EFF" w:rsidR="00696C5A" w:rsidRDefault="00696C5A">
      <w:r>
        <w:rPr>
          <w:noProof/>
        </w:rPr>
        <w:drawing>
          <wp:anchor distT="0" distB="0" distL="114300" distR="114300" simplePos="0" relativeHeight="251659264" behindDoc="1" locked="0" layoutInCell="1" allowOverlap="1" wp14:anchorId="4C13CAEE" wp14:editId="49C8024B">
            <wp:simplePos x="0" y="0"/>
            <wp:positionH relativeFrom="column">
              <wp:posOffset>94571</wp:posOffset>
            </wp:positionH>
            <wp:positionV relativeFrom="paragraph">
              <wp:posOffset>569</wp:posOffset>
            </wp:positionV>
            <wp:extent cx="2094230" cy="2035810"/>
            <wp:effectExtent l="0" t="0" r="1270" b="0"/>
            <wp:wrapTight wrapText="bothSides">
              <wp:wrapPolygon edited="0">
                <wp:start x="0" y="0"/>
                <wp:lineTo x="0" y="21425"/>
                <wp:lineTo x="21482" y="21425"/>
                <wp:lineTo x="21482"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eighton.jpg"/>
                    <pic:cNvPicPr/>
                  </pic:nvPicPr>
                  <pic:blipFill>
                    <a:blip r:embed="rId4">
                      <a:extLst>
                        <a:ext uri="{28A0092B-C50C-407E-A947-70E740481C1C}">
                          <a14:useLocalDpi xmlns:a14="http://schemas.microsoft.com/office/drawing/2010/main" val="0"/>
                        </a:ext>
                      </a:extLst>
                    </a:blip>
                    <a:stretch>
                      <a:fillRect/>
                    </a:stretch>
                  </pic:blipFill>
                  <pic:spPr>
                    <a:xfrm>
                      <a:off x="0" y="0"/>
                      <a:ext cx="2094230" cy="2035810"/>
                    </a:xfrm>
                    <a:prstGeom prst="rect">
                      <a:avLst/>
                    </a:prstGeom>
                  </pic:spPr>
                </pic:pic>
              </a:graphicData>
            </a:graphic>
            <wp14:sizeRelH relativeFrom="margin">
              <wp14:pctWidth>0</wp14:pctWidth>
            </wp14:sizeRelH>
            <wp14:sizeRelV relativeFrom="margin">
              <wp14:pctHeight>0</wp14:pctHeight>
            </wp14:sizeRelV>
          </wp:anchor>
        </w:drawing>
      </w:r>
    </w:p>
    <w:p w14:paraId="1587F0BD" w14:textId="63CA18BA" w:rsidR="008465D6" w:rsidRDefault="00696C5A">
      <w:r>
        <w:rPr>
          <w:noProof/>
        </w:rPr>
        <w:drawing>
          <wp:anchor distT="0" distB="0" distL="114300" distR="114300" simplePos="0" relativeHeight="251660288" behindDoc="0" locked="0" layoutInCell="1" allowOverlap="1" wp14:anchorId="1E247A1F" wp14:editId="5D3D060C">
            <wp:simplePos x="0" y="0"/>
            <wp:positionH relativeFrom="column">
              <wp:posOffset>3632485</wp:posOffset>
            </wp:positionH>
            <wp:positionV relativeFrom="paragraph">
              <wp:posOffset>97440</wp:posOffset>
            </wp:positionV>
            <wp:extent cx="1912620" cy="1177290"/>
            <wp:effectExtent l="0" t="0" r="5080" b="3810"/>
            <wp:wrapTight wrapText="bothSides">
              <wp:wrapPolygon edited="0">
                <wp:start x="0" y="0"/>
                <wp:lineTo x="0" y="21437"/>
                <wp:lineTo x="21514" y="21437"/>
                <wp:lineTo x="21514"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roSperity_Logo.jpg"/>
                    <pic:cNvPicPr/>
                  </pic:nvPicPr>
                  <pic:blipFill>
                    <a:blip r:embed="rId5">
                      <a:extLst>
                        <a:ext uri="{28A0092B-C50C-407E-A947-70E740481C1C}">
                          <a14:useLocalDpi xmlns:a14="http://schemas.microsoft.com/office/drawing/2010/main" val="0"/>
                        </a:ext>
                      </a:extLst>
                    </a:blip>
                    <a:stretch>
                      <a:fillRect/>
                    </a:stretch>
                  </pic:blipFill>
                  <pic:spPr>
                    <a:xfrm>
                      <a:off x="0" y="0"/>
                      <a:ext cx="1912620" cy="1177290"/>
                    </a:xfrm>
                    <a:prstGeom prst="rect">
                      <a:avLst/>
                    </a:prstGeom>
                  </pic:spPr>
                </pic:pic>
              </a:graphicData>
            </a:graphic>
            <wp14:sizeRelH relativeFrom="margin">
              <wp14:pctWidth>0</wp14:pctWidth>
            </wp14:sizeRelH>
            <wp14:sizeRelV relativeFrom="margin">
              <wp14:pctHeight>0</wp14:pctHeight>
            </wp14:sizeRelV>
          </wp:anchor>
        </w:drawing>
      </w:r>
    </w:p>
    <w:p w14:paraId="34E65419" w14:textId="3BDFF84C" w:rsidR="00696C5A" w:rsidRDefault="00696C5A"/>
    <w:p w14:paraId="06A84E36" w14:textId="4249EBFB" w:rsidR="00696C5A" w:rsidRDefault="00696C5A"/>
    <w:p w14:paraId="37139507" w14:textId="4CC75ADA" w:rsidR="00696C5A" w:rsidRDefault="00696C5A"/>
    <w:p w14:paraId="5C2634DD" w14:textId="5B4925B5" w:rsidR="00696C5A" w:rsidRDefault="00696C5A"/>
    <w:p w14:paraId="2A0B5160" w14:textId="1CC1D348" w:rsidR="00696C5A" w:rsidRDefault="00696C5A"/>
    <w:p w14:paraId="468E7DBD" w14:textId="53B686C7" w:rsidR="00696C5A" w:rsidRDefault="00696C5A"/>
    <w:p w14:paraId="6EC39852" w14:textId="04F4C2BD" w:rsidR="00696C5A" w:rsidRDefault="00696C5A">
      <w:r>
        <w:tab/>
      </w:r>
      <w:r>
        <w:tab/>
      </w:r>
      <w:r>
        <w:tab/>
        <w:t xml:space="preserve">   </w:t>
      </w:r>
      <w:proofErr w:type="spellStart"/>
      <w:r>
        <w:t>ProSperity</w:t>
      </w:r>
      <w:proofErr w:type="spellEnd"/>
      <w:r>
        <w:t xml:space="preserve"> </w:t>
      </w:r>
      <w:proofErr w:type="spellStart"/>
      <w:r>
        <w:t>Biosciecne</w:t>
      </w:r>
      <w:proofErr w:type="spellEnd"/>
      <w:r>
        <w:t xml:space="preserve"> LLC</w:t>
      </w:r>
    </w:p>
    <w:p w14:paraId="626B072A" w14:textId="3EFEBE69" w:rsidR="00696C5A" w:rsidRDefault="00696C5A"/>
    <w:p w14:paraId="4DDB880D" w14:textId="79FF469E" w:rsidR="00696C5A" w:rsidRDefault="00696C5A"/>
    <w:p w14:paraId="51450AD1" w14:textId="60BCD1A9" w:rsidR="00696C5A" w:rsidRDefault="00696C5A"/>
    <w:p w14:paraId="46C42326" w14:textId="77777777" w:rsidR="00696C5A" w:rsidRDefault="00696C5A"/>
    <w:p w14:paraId="768212F4" w14:textId="4827A8F6" w:rsidR="00696C5A" w:rsidRPr="00D817C0" w:rsidRDefault="00696C5A" w:rsidP="00696C5A">
      <w:pPr>
        <w:jc w:val="center"/>
        <w:rPr>
          <w:b/>
          <w:sz w:val="28"/>
          <w:szCs w:val="28"/>
        </w:rPr>
      </w:pPr>
      <w:r w:rsidRPr="00D817C0">
        <w:rPr>
          <w:b/>
          <w:sz w:val="28"/>
          <w:szCs w:val="28"/>
        </w:rPr>
        <w:t xml:space="preserve">Functionally Targeted Probiotics: </w:t>
      </w:r>
      <w:r w:rsidR="00DD6A13">
        <w:rPr>
          <w:b/>
          <w:sz w:val="28"/>
          <w:szCs w:val="28"/>
        </w:rPr>
        <w:t>The next generation of consumer wellness</w:t>
      </w:r>
    </w:p>
    <w:p w14:paraId="1E39ABDE" w14:textId="25831DF2" w:rsidR="00696C5A" w:rsidRPr="00D817C0" w:rsidRDefault="00696C5A">
      <w:pPr>
        <w:rPr>
          <w:b/>
          <w:sz w:val="28"/>
          <w:szCs w:val="28"/>
        </w:rPr>
      </w:pPr>
    </w:p>
    <w:p w14:paraId="32208C88" w14:textId="77777777" w:rsidR="00696C5A" w:rsidRPr="00D817C0" w:rsidRDefault="00696C5A">
      <w:pPr>
        <w:rPr>
          <w:b/>
          <w:sz w:val="28"/>
          <w:szCs w:val="28"/>
        </w:rPr>
      </w:pPr>
    </w:p>
    <w:p w14:paraId="55AE682F" w14:textId="3C481FAD" w:rsidR="00696C5A" w:rsidRPr="00D817C0" w:rsidRDefault="00696C5A" w:rsidP="00696C5A">
      <w:pPr>
        <w:jc w:val="center"/>
        <w:rPr>
          <w:sz w:val="28"/>
          <w:szCs w:val="28"/>
        </w:rPr>
      </w:pPr>
      <w:r w:rsidRPr="00D817C0">
        <w:rPr>
          <w:sz w:val="28"/>
          <w:szCs w:val="28"/>
        </w:rPr>
        <w:t>Peter Leighton</w:t>
      </w:r>
    </w:p>
    <w:p w14:paraId="35F3FB4D" w14:textId="55AA07E5" w:rsidR="00696C5A" w:rsidRPr="00D817C0" w:rsidRDefault="00696C5A" w:rsidP="00696C5A">
      <w:pPr>
        <w:jc w:val="center"/>
        <w:rPr>
          <w:sz w:val="28"/>
          <w:szCs w:val="28"/>
        </w:rPr>
      </w:pPr>
      <w:r w:rsidRPr="00D817C0">
        <w:rPr>
          <w:sz w:val="28"/>
          <w:szCs w:val="28"/>
        </w:rPr>
        <w:t xml:space="preserve">CEO, </w:t>
      </w:r>
      <w:proofErr w:type="spellStart"/>
      <w:r w:rsidRPr="00D817C0">
        <w:rPr>
          <w:sz w:val="28"/>
          <w:szCs w:val="28"/>
        </w:rPr>
        <w:t>ProSperity</w:t>
      </w:r>
      <w:proofErr w:type="spellEnd"/>
      <w:r w:rsidRPr="00D817C0">
        <w:rPr>
          <w:sz w:val="28"/>
          <w:szCs w:val="28"/>
        </w:rPr>
        <w:t xml:space="preserve"> Bioscience</w:t>
      </w:r>
    </w:p>
    <w:p w14:paraId="04FC6A10" w14:textId="627DAC38" w:rsidR="00696C5A" w:rsidRDefault="00696C5A"/>
    <w:p w14:paraId="0ED07912" w14:textId="62F5538E" w:rsidR="00D817C0" w:rsidRDefault="00DD6A13" w:rsidP="00696C5A">
      <w:pPr>
        <w:rPr>
          <w:rFonts w:cstheme="minorHAnsi"/>
          <w:szCs w:val="38"/>
        </w:rPr>
      </w:pPr>
      <w:r>
        <w:rPr>
          <w:rFonts w:cstheme="minorHAnsi"/>
          <w:szCs w:val="38"/>
        </w:rPr>
        <w:t>The first generation of probiotic products are based on general strain selection for gut and immune health. Emerging sequencing technologies have identified novel probiotic strains and clinical data is mounting on the unique and specific functional application of these strains. Specifically, new probiotic strains are proving themselves viable for cholesterol, anxiety, weight management, fatigue, and a host of other health conditions. Mr. Leighton will explore how these functionally targeted probiotics can be applied into consumer nutrition products for optimizing wellness.</w:t>
      </w:r>
      <w:bookmarkStart w:id="0" w:name="_GoBack"/>
      <w:bookmarkEnd w:id="0"/>
    </w:p>
    <w:p w14:paraId="0ADEB95A" w14:textId="77777777" w:rsidR="00D817C0" w:rsidRDefault="00D817C0" w:rsidP="00696C5A">
      <w:pPr>
        <w:rPr>
          <w:rFonts w:cstheme="minorHAnsi"/>
          <w:szCs w:val="38"/>
        </w:rPr>
      </w:pPr>
    </w:p>
    <w:p w14:paraId="795BDEE3" w14:textId="5772BC26" w:rsidR="00696C5A" w:rsidRPr="00D817C0" w:rsidRDefault="00D817C0" w:rsidP="00696C5A">
      <w:pPr>
        <w:rPr>
          <w:rFonts w:cstheme="minorHAnsi"/>
          <w:szCs w:val="38"/>
        </w:rPr>
      </w:pPr>
      <w:r w:rsidRPr="00D817C0">
        <w:rPr>
          <w:rFonts w:cstheme="minorHAnsi"/>
          <w:b/>
          <w:color w:val="222A35" w:themeColor="text2" w:themeShade="80"/>
          <w:sz w:val="22"/>
          <w:szCs w:val="28"/>
        </w:rPr>
        <w:t>Peter Leighton</w:t>
      </w:r>
      <w:r w:rsidRPr="00D817C0">
        <w:rPr>
          <w:rFonts w:cstheme="minorHAnsi"/>
          <w:color w:val="222A35" w:themeColor="text2" w:themeShade="80"/>
          <w:sz w:val="22"/>
          <w:szCs w:val="28"/>
        </w:rPr>
        <w:t xml:space="preserve"> is the CEO of </w:t>
      </w:r>
      <w:proofErr w:type="spellStart"/>
      <w:r w:rsidRPr="00D817C0">
        <w:rPr>
          <w:rFonts w:cstheme="minorHAnsi"/>
          <w:color w:val="222A35" w:themeColor="text2" w:themeShade="80"/>
          <w:sz w:val="22"/>
          <w:szCs w:val="28"/>
        </w:rPr>
        <w:t>ProSperity</w:t>
      </w:r>
      <w:proofErr w:type="spellEnd"/>
      <w:r w:rsidRPr="00D817C0">
        <w:rPr>
          <w:rFonts w:cstheme="minorHAnsi"/>
          <w:color w:val="222A35" w:themeColor="text2" w:themeShade="80"/>
          <w:sz w:val="22"/>
          <w:szCs w:val="28"/>
        </w:rPr>
        <w:t xml:space="preserve"> Bioscience, and founding partner of </w:t>
      </w:r>
      <w:proofErr w:type="spellStart"/>
      <w:r w:rsidRPr="00D817C0">
        <w:rPr>
          <w:rFonts w:cstheme="minorHAnsi"/>
          <w:color w:val="222A35" w:themeColor="text2" w:themeShade="80"/>
          <w:sz w:val="22"/>
          <w:szCs w:val="28"/>
        </w:rPr>
        <w:t>Abunda</w:t>
      </w:r>
      <w:proofErr w:type="spellEnd"/>
      <w:r w:rsidRPr="00D817C0">
        <w:rPr>
          <w:rFonts w:cstheme="minorHAnsi"/>
          <w:color w:val="222A35" w:themeColor="text2" w:themeShade="80"/>
          <w:sz w:val="22"/>
          <w:szCs w:val="28"/>
        </w:rPr>
        <w:t xml:space="preserve"> Functional Foods, an integrated consulting group. Leighton brings 30 years’ experience in consumer products, nutraceuticals and biotechnology. Responsible for some of the most successful brands on the market, Leighton has been a thought leader in the areas of functional foods and science-based nutraceuticals. Leighton has held senior executive positions with Complete Nutrition, </w:t>
      </w:r>
      <w:proofErr w:type="spellStart"/>
      <w:r w:rsidRPr="00D817C0">
        <w:rPr>
          <w:rFonts w:cstheme="minorHAnsi"/>
          <w:color w:val="222A35" w:themeColor="text2" w:themeShade="80"/>
          <w:sz w:val="22"/>
          <w:szCs w:val="28"/>
        </w:rPr>
        <w:t>Advana</w:t>
      </w:r>
      <w:proofErr w:type="spellEnd"/>
      <w:r w:rsidRPr="00D817C0">
        <w:rPr>
          <w:rFonts w:cstheme="minorHAnsi"/>
          <w:color w:val="222A35" w:themeColor="text2" w:themeShade="80"/>
          <w:sz w:val="22"/>
          <w:szCs w:val="28"/>
        </w:rPr>
        <w:t xml:space="preserve"> Science, </w:t>
      </w:r>
      <w:proofErr w:type="spellStart"/>
      <w:r w:rsidRPr="00D817C0">
        <w:rPr>
          <w:rFonts w:cstheme="minorHAnsi"/>
          <w:color w:val="222A35" w:themeColor="text2" w:themeShade="80"/>
          <w:sz w:val="22"/>
          <w:szCs w:val="28"/>
        </w:rPr>
        <w:t>Natrol</w:t>
      </w:r>
      <w:proofErr w:type="spellEnd"/>
      <w:r w:rsidRPr="00D817C0">
        <w:rPr>
          <w:rFonts w:cstheme="minorHAnsi"/>
          <w:color w:val="222A35" w:themeColor="text2" w:themeShade="80"/>
          <w:sz w:val="22"/>
          <w:szCs w:val="28"/>
        </w:rPr>
        <w:t xml:space="preserve"> (NTOL), Galileo Laboratories, </w:t>
      </w:r>
      <w:proofErr w:type="spellStart"/>
      <w:r w:rsidRPr="00D817C0">
        <w:rPr>
          <w:rFonts w:cstheme="minorHAnsi"/>
          <w:color w:val="222A35" w:themeColor="text2" w:themeShade="80"/>
          <w:sz w:val="22"/>
          <w:szCs w:val="28"/>
        </w:rPr>
        <w:t>Metabolife</w:t>
      </w:r>
      <w:proofErr w:type="spellEnd"/>
      <w:r w:rsidRPr="00D817C0">
        <w:rPr>
          <w:rFonts w:cstheme="minorHAnsi"/>
          <w:color w:val="222A35" w:themeColor="text2" w:themeShade="80"/>
          <w:sz w:val="22"/>
          <w:szCs w:val="28"/>
        </w:rPr>
        <w:t xml:space="preserve">, and Weider Nutrition (WNI). </w:t>
      </w:r>
      <w:r w:rsidRPr="00D817C0">
        <w:rPr>
          <w:rFonts w:cstheme="minorHAnsi"/>
          <w:szCs w:val="38"/>
        </w:rPr>
        <w:t xml:space="preserve"> </w:t>
      </w:r>
    </w:p>
    <w:p w14:paraId="0A44DA55" w14:textId="088BE1A3" w:rsidR="00696C5A" w:rsidRPr="00696C5A" w:rsidRDefault="00696C5A">
      <w:pPr>
        <w:rPr>
          <w:rFonts w:cstheme="minorHAnsi"/>
        </w:rPr>
      </w:pPr>
    </w:p>
    <w:p w14:paraId="434FE1DF" w14:textId="77777777" w:rsidR="00696C5A" w:rsidRDefault="00696C5A"/>
    <w:sectPr w:rsidR="00696C5A" w:rsidSect="0091054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6C5A"/>
    <w:rsid w:val="00696C5A"/>
    <w:rsid w:val="00840BAB"/>
    <w:rsid w:val="00910540"/>
    <w:rsid w:val="00D817C0"/>
    <w:rsid w:val="00DD6A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47526A0"/>
  <w14:defaultImageDpi w14:val="32767"/>
  <w15:chartTrackingRefBased/>
  <w15:docId w15:val="{55F2A4B9-0B96-7F49-96E7-09D3D09F3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g"/><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195</Words>
  <Characters>1113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Leighton</dc:creator>
  <cp:keywords/>
  <dc:description/>
  <cp:lastModifiedBy>Peter Leighton</cp:lastModifiedBy>
  <cp:revision>2</cp:revision>
  <dcterms:created xsi:type="dcterms:W3CDTF">2018-09-11T03:15:00Z</dcterms:created>
  <dcterms:modified xsi:type="dcterms:W3CDTF">2018-09-11T03:15:00Z</dcterms:modified>
</cp:coreProperties>
</file>