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4635FA" w:rsidRDefault="004B190D">
      <w:pPr>
        <w:jc w:val="both"/>
        <w:rPr>
          <w:sz w:val="22"/>
          <w:szCs w:val="22"/>
        </w:rPr>
      </w:pPr>
      <w:r>
        <w:rPr>
          <w:noProof/>
          <w:sz w:val="22"/>
          <w:szCs w:val="22"/>
          <w:lang w:val="et-EE"/>
        </w:rPr>
        <w:drawing>
          <wp:anchor distT="0" distB="0" distL="0" distR="0" simplePos="0" relativeHeight="251660288" behindDoc="0" locked="0" layoutInCell="1" allowOverlap="1">
            <wp:simplePos x="0" y="0"/>
            <wp:positionH relativeFrom="column">
              <wp:posOffset>3263900</wp:posOffset>
            </wp:positionH>
            <wp:positionV relativeFrom="line">
              <wp:posOffset>1194435</wp:posOffset>
            </wp:positionV>
            <wp:extent cx="1800225" cy="604520"/>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png"/>
                    <pic:cNvPicPr>
                      <a:picLocks noChangeAspect="1"/>
                    </pic:cNvPicPr>
                  </pic:nvPicPr>
                  <pic:blipFill>
                    <a:blip r:embed="rId6" cstate="print">
                      <a:extLst/>
                    </a:blip>
                    <a:stretch>
                      <a:fillRect/>
                    </a:stretch>
                  </pic:blipFill>
                  <pic:spPr>
                    <a:xfrm>
                      <a:off x="0" y="0"/>
                      <a:ext cx="1800225" cy="604520"/>
                    </a:xfrm>
                    <a:prstGeom prst="rect">
                      <a:avLst/>
                    </a:prstGeom>
                    <a:ln w="12700" cap="flat">
                      <a:noFill/>
                      <a:miter lim="400000"/>
                    </a:ln>
                    <a:effectLst/>
                  </pic:spPr>
                </pic:pic>
              </a:graphicData>
            </a:graphic>
          </wp:anchor>
        </w:drawing>
      </w:r>
      <w:r>
        <w:rPr>
          <w:noProof/>
          <w:sz w:val="22"/>
          <w:szCs w:val="22"/>
          <w:lang w:val="et-EE"/>
        </w:rPr>
        <w:drawing>
          <wp:anchor distT="0" distB="0" distL="0" distR="0" simplePos="0" relativeHeight="251659264" behindDoc="0" locked="0" layoutInCell="1" allowOverlap="1">
            <wp:simplePos x="0" y="0"/>
            <wp:positionH relativeFrom="column">
              <wp:posOffset>5098415</wp:posOffset>
            </wp:positionH>
            <wp:positionV relativeFrom="line">
              <wp:posOffset>42544</wp:posOffset>
            </wp:positionV>
            <wp:extent cx="935990" cy="1753871"/>
            <wp:effectExtent l="0" t="0" r="0" b="0"/>
            <wp:wrapNone/>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png"/>
                    <pic:cNvPicPr>
                      <a:picLocks noChangeAspect="1"/>
                    </pic:cNvPicPr>
                  </pic:nvPicPr>
                  <pic:blipFill>
                    <a:blip r:embed="rId7" cstate="print">
                      <a:extLst/>
                    </a:blip>
                    <a:stretch>
                      <a:fillRect/>
                    </a:stretch>
                  </pic:blipFill>
                  <pic:spPr>
                    <a:xfrm>
                      <a:off x="0" y="0"/>
                      <a:ext cx="935990" cy="1753871"/>
                    </a:xfrm>
                    <a:prstGeom prst="rect">
                      <a:avLst/>
                    </a:prstGeom>
                    <a:ln w="12700" cap="flat">
                      <a:noFill/>
                      <a:miter lim="400000"/>
                    </a:ln>
                    <a:effectLst/>
                  </pic:spPr>
                </pic:pic>
              </a:graphicData>
            </a:graphic>
          </wp:anchor>
        </w:drawing>
      </w:r>
      <w:r>
        <w:rPr>
          <w:sz w:val="22"/>
          <w:szCs w:val="22"/>
          <w:lang w:val="en-US"/>
        </w:rPr>
        <w:t xml:space="preserve">        </w:t>
      </w:r>
      <w:r>
        <w:rPr>
          <w:noProof/>
          <w:lang w:val="et-EE"/>
        </w:rPr>
        <w:drawing>
          <wp:inline distT="0" distB="0" distL="0" distR="0">
            <wp:extent cx="1865895" cy="1865895"/>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age.png"/>
                    <pic:cNvPicPr>
                      <a:picLocks noChangeAspect="1"/>
                    </pic:cNvPicPr>
                  </pic:nvPicPr>
                  <pic:blipFill>
                    <a:blip r:embed="rId8" cstate="print">
                      <a:extLst/>
                    </a:blip>
                    <a:stretch>
                      <a:fillRect/>
                    </a:stretch>
                  </pic:blipFill>
                  <pic:spPr>
                    <a:xfrm>
                      <a:off x="0" y="0"/>
                      <a:ext cx="1865895" cy="1865895"/>
                    </a:xfrm>
                    <a:prstGeom prst="rect">
                      <a:avLst/>
                    </a:prstGeom>
                    <a:ln w="12700" cap="flat">
                      <a:noFill/>
                      <a:miter lim="400000"/>
                    </a:ln>
                    <a:effectLst/>
                  </pic:spPr>
                </pic:pic>
              </a:graphicData>
            </a:graphic>
          </wp:inline>
        </w:drawing>
      </w:r>
      <w:r>
        <w:rPr>
          <w:sz w:val="22"/>
          <w:szCs w:val="22"/>
          <w:lang w:val="en-US"/>
        </w:rPr>
        <w:t xml:space="preserve">                                                                                                               </w:t>
      </w:r>
    </w:p>
    <w:p w:rsidR="004635FA" w:rsidRDefault="004635FA">
      <w:pPr>
        <w:rPr>
          <w:b/>
          <w:bCs/>
          <w:sz w:val="28"/>
          <w:szCs w:val="28"/>
          <w:shd w:val="clear" w:color="auto" w:fill="FFFF00"/>
        </w:rPr>
      </w:pPr>
    </w:p>
    <w:p w:rsidR="005902C2" w:rsidRDefault="004B190D" w:rsidP="005902C2">
      <w:pPr>
        <w:jc w:val="center"/>
        <w:rPr>
          <w:b/>
          <w:bCs/>
          <w:sz w:val="28"/>
          <w:szCs w:val="28"/>
        </w:rPr>
      </w:pPr>
      <w:r>
        <w:rPr>
          <w:b/>
          <w:bCs/>
          <w:sz w:val="28"/>
          <w:szCs w:val="28"/>
        </w:rPr>
        <w:t>Curative mud</w:t>
      </w:r>
      <w:r w:rsidR="006352F3">
        <w:rPr>
          <w:b/>
          <w:bCs/>
          <w:sz w:val="28"/>
          <w:szCs w:val="28"/>
        </w:rPr>
        <w:t xml:space="preserve"> and paraffin treatment for </w:t>
      </w:r>
      <w:r>
        <w:rPr>
          <w:b/>
          <w:bCs/>
          <w:sz w:val="28"/>
          <w:szCs w:val="28"/>
        </w:rPr>
        <w:t>hand and wrist</w:t>
      </w:r>
    </w:p>
    <w:p w:rsidR="004635FA" w:rsidRDefault="004B190D" w:rsidP="005902C2">
      <w:pPr>
        <w:jc w:val="center"/>
        <w:rPr>
          <w:b/>
          <w:bCs/>
          <w:sz w:val="28"/>
          <w:szCs w:val="28"/>
        </w:rPr>
      </w:pPr>
      <w:r>
        <w:rPr>
          <w:b/>
          <w:bCs/>
          <w:sz w:val="28"/>
          <w:szCs w:val="28"/>
        </w:rPr>
        <w:t>pain syndromes in female workers</w:t>
      </w:r>
      <w:r w:rsidR="005902C2">
        <w:rPr>
          <w:b/>
          <w:bCs/>
          <w:sz w:val="28"/>
          <w:szCs w:val="28"/>
        </w:rPr>
        <w:t>.</w:t>
      </w:r>
    </w:p>
    <w:p w:rsidR="004635FA" w:rsidRDefault="004635FA"/>
    <w:p w:rsidR="004635FA" w:rsidRDefault="004B190D">
      <w:r>
        <w:t>V-R. Tuulik</w:t>
      </w:r>
      <w:r>
        <w:rPr>
          <w:vertAlign w:val="superscript"/>
        </w:rPr>
        <w:t>1,2</w:t>
      </w:r>
      <w:r>
        <w:t>, S. Saarik</w:t>
      </w:r>
      <w:r>
        <w:rPr>
          <w:vertAlign w:val="superscript"/>
        </w:rPr>
        <w:t>1</w:t>
      </w:r>
      <w:r>
        <w:t>, V. Tuulik</w:t>
      </w:r>
      <w:r>
        <w:rPr>
          <w:vertAlign w:val="superscript"/>
        </w:rPr>
        <w:t>1</w:t>
      </w:r>
      <w:r>
        <w:t>, M. Übner</w:t>
      </w:r>
      <w:r>
        <w:rPr>
          <w:vertAlign w:val="superscript"/>
        </w:rPr>
        <w:t>1,3</w:t>
      </w:r>
      <w:r>
        <w:t>, T. Vare</w:t>
      </w:r>
      <w:r>
        <w:rPr>
          <w:vertAlign w:val="superscript"/>
        </w:rPr>
        <w:t>1</w:t>
      </w:r>
      <w:r>
        <w:t>, E. Makienko</w:t>
      </w:r>
      <w:r>
        <w:rPr>
          <w:vertAlign w:val="superscript"/>
        </w:rPr>
        <w:t>1</w:t>
      </w:r>
    </w:p>
    <w:p w:rsidR="004635FA" w:rsidRDefault="004B190D">
      <w:r>
        <w:rPr>
          <w:vertAlign w:val="superscript"/>
        </w:rPr>
        <w:t>1</w:t>
      </w:r>
      <w:r>
        <w:t>The Centre of Excellence in Health Promotion and Rehabilitation</w:t>
      </w:r>
      <w:r w:rsidR="006935FB">
        <w:t xml:space="preserve">, </w:t>
      </w:r>
      <w:r>
        <w:rPr>
          <w:vertAlign w:val="superscript"/>
        </w:rPr>
        <w:t>2</w:t>
      </w:r>
      <w:r>
        <w:t>West Tallinn Central Hospital, Tallinn, Estonia</w:t>
      </w:r>
      <w:r w:rsidR="006935FB">
        <w:t xml:space="preserve">, </w:t>
      </w:r>
      <w:r>
        <w:rPr>
          <w:vertAlign w:val="superscript"/>
        </w:rPr>
        <w:t>3</w:t>
      </w:r>
      <w:r>
        <w:t>Pärnu College, University of Tartu, Pärnu, Estonia</w:t>
      </w:r>
    </w:p>
    <w:p w:rsidR="004635FA" w:rsidRDefault="004635FA">
      <w:pPr>
        <w:jc w:val="both"/>
      </w:pPr>
    </w:p>
    <w:p w:rsidR="004635FA" w:rsidRDefault="004B190D">
      <w:pPr>
        <w:jc w:val="both"/>
      </w:pPr>
      <w:r>
        <w:rPr>
          <w:b/>
          <w:bCs/>
        </w:rPr>
        <w:t xml:space="preserve">The aim of the study: </w:t>
      </w:r>
      <w:r>
        <w:t>to measure the effectivene</w:t>
      </w:r>
      <w:r w:rsidR="006352F3">
        <w:t>ss of</w:t>
      </w:r>
      <w:r>
        <w:t xml:space="preserve"> curative mud and p</w:t>
      </w:r>
      <w:r w:rsidR="001850DD">
        <w:t>araffin treatment in case of</w:t>
      </w:r>
      <w:r>
        <w:t xml:space="preserve"> hand and wrist pain syndromes in female workers.</w:t>
      </w:r>
    </w:p>
    <w:p w:rsidR="004635FA" w:rsidRDefault="004B190D">
      <w:pPr>
        <w:jc w:val="both"/>
      </w:pPr>
      <w:r>
        <w:rPr>
          <w:b/>
          <w:bCs/>
        </w:rPr>
        <w:t>Objectives</w:t>
      </w:r>
      <w:r>
        <w:t xml:space="preserve">: Musculoskeletal disorders are the main causes of work disability in </w:t>
      </w:r>
      <w:r w:rsidR="00005272">
        <w:t xml:space="preserve">the </w:t>
      </w:r>
      <w:r>
        <w:t xml:space="preserve">EU. Insufficient microcirculation (MC) is </w:t>
      </w:r>
      <w:r>
        <w:rPr>
          <w:lang w:val="en-US"/>
        </w:rPr>
        <w:t>one of the earliest functional impairment</w:t>
      </w:r>
      <w:r w:rsidR="00005272">
        <w:rPr>
          <w:lang w:val="en-US"/>
        </w:rPr>
        <w:t>s</w:t>
      </w:r>
      <w:r>
        <w:rPr>
          <w:lang w:val="en-US"/>
        </w:rPr>
        <w:t xml:space="preserve"> that occurs in case of overuse syndromes and repeated local </w:t>
      </w:r>
      <w:proofErr w:type="spellStart"/>
      <w:r>
        <w:rPr>
          <w:lang w:val="en-US"/>
        </w:rPr>
        <w:t>thermostress</w:t>
      </w:r>
      <w:proofErr w:type="spellEnd"/>
      <w:r w:rsidR="006352F3">
        <w:rPr>
          <w:lang w:val="en-US"/>
        </w:rPr>
        <w:t xml:space="preserve"> treatment could repair the MC i</w:t>
      </w:r>
      <w:r>
        <w:rPr>
          <w:lang w:val="en-US"/>
        </w:rPr>
        <w:t xml:space="preserve">n the overused regions. We used local hot packages with </w:t>
      </w:r>
      <w:r>
        <w:t xml:space="preserve">Haapsalu Bay curative mud and hot paraffin for the treatment of overused hand pain syndromes. Curative mud contains a lot of minerals and bioactive organic compounds which </w:t>
      </w:r>
      <w:r w:rsidR="006352F3">
        <w:rPr>
          <w:shd w:val="clear" w:color="auto" w:fill="FFFFFF"/>
        </w:rPr>
        <w:t>stimulate</w:t>
      </w:r>
      <w:r>
        <w:rPr>
          <w:shd w:val="clear" w:color="auto" w:fill="FFFFFF"/>
        </w:rPr>
        <w:t xml:space="preserve"> natural recovery.</w:t>
      </w:r>
    </w:p>
    <w:p w:rsidR="004635FA" w:rsidRDefault="004B190D">
      <w:pPr>
        <w:jc w:val="both"/>
      </w:pPr>
      <w:r>
        <w:rPr>
          <w:b/>
          <w:bCs/>
        </w:rPr>
        <w:t>Method:</w:t>
      </w:r>
      <w:r>
        <w:t xml:space="preserve"> 39 workers with upper limb overuse pain were exposed to 10 local thermotherapies on the hands. </w:t>
      </w:r>
      <w:r w:rsidR="004A42AC" w:rsidRPr="004A42AC">
        <w:t>42</w:t>
      </w:r>
      <w:r w:rsidRPr="004A42AC">
        <w:t xml:space="preserve"> </w:t>
      </w:r>
      <w:r w:rsidR="004A42AC" w:rsidRPr="004A42AC">
        <w:rPr>
          <w:rFonts w:cs="Times New Roman"/>
        </w:rPr>
        <w:t>⁰</w:t>
      </w:r>
      <w:r w:rsidR="004A42AC" w:rsidRPr="004A42AC">
        <w:t xml:space="preserve">C </w:t>
      </w:r>
      <w:r w:rsidRPr="004A42AC">
        <w:t>mud group:</w:t>
      </w:r>
      <w:r>
        <w:t xml:space="preserve"> 20 persons with </w:t>
      </w:r>
      <w:r w:rsidR="004A42AC">
        <w:t xml:space="preserve">the </w:t>
      </w:r>
      <w:r>
        <w:t xml:space="preserve">mean age </w:t>
      </w:r>
      <w:r w:rsidR="004A42AC">
        <w:t xml:space="preserve">of </w:t>
      </w:r>
      <w:r>
        <w:t>52.2±9.9, BMI 27.6±5.1, working years 11.2±9.0 and warm paraffin treatment group: 19 persons with</w:t>
      </w:r>
      <w:r w:rsidR="004A42AC">
        <w:t xml:space="preserve"> the</w:t>
      </w:r>
      <w:r>
        <w:t xml:space="preserve"> mean age </w:t>
      </w:r>
      <w:r w:rsidR="004A42AC">
        <w:t xml:space="preserve">of </w:t>
      </w:r>
      <w:r>
        <w:t>52.9±8.2, BMI 26.3±5.2, working years 11.6±9.9. The mean pain score on the Visual Analogue Scale in the curative mud group was 4.9 before and 2.7 after the treatment and in the paraffin group 3.9 before and 2.5 after the local treatment on the hands.</w:t>
      </w:r>
    </w:p>
    <w:p w:rsidR="004635FA" w:rsidRDefault="004B190D">
      <w:pPr>
        <w:jc w:val="both"/>
      </w:pPr>
      <w:r>
        <w:rPr>
          <w:b/>
          <w:bCs/>
        </w:rPr>
        <w:t>Results:</w:t>
      </w:r>
      <w:r>
        <w:t xml:space="preserve"> In the group of local warm curative mud application the pain score decreased 44.9% </w:t>
      </w:r>
      <w:bookmarkStart w:id="0" w:name="_Hlk517821962"/>
      <w:r>
        <w:t xml:space="preserve">(p&lt;0.0001), </w:t>
      </w:r>
      <w:bookmarkEnd w:id="0"/>
      <w:r>
        <w:t>and in the group of paraffin treatment 36.1% (p&lt;0.012).</w:t>
      </w:r>
    </w:p>
    <w:p w:rsidR="005902C2" w:rsidRDefault="004B190D" w:rsidP="005902C2">
      <w:pPr>
        <w:jc w:val="both"/>
      </w:pPr>
      <w:r>
        <w:rPr>
          <w:b/>
          <w:bCs/>
        </w:rPr>
        <w:t>Conclusions:</w:t>
      </w:r>
      <w:r w:rsidR="004A42AC">
        <w:t xml:space="preserve"> Local warm applications of</w:t>
      </w:r>
      <w:r>
        <w:t xml:space="preserve"> mud or paraffin could be a method for the prevention and treatment of hand and wrist overuse pain syndromes. </w:t>
      </w:r>
    </w:p>
    <w:p w:rsidR="006935FB" w:rsidRDefault="006935FB" w:rsidP="006935FB">
      <w:pPr>
        <w:jc w:val="center"/>
      </w:pPr>
    </w:p>
    <w:p w:rsidR="004635FA" w:rsidRDefault="004B190D" w:rsidP="006935FB">
      <w:pPr>
        <w:jc w:val="center"/>
      </w:pPr>
      <w:r>
        <w:rPr>
          <w:noProof/>
          <w:lang w:val="et-EE"/>
        </w:rPr>
        <w:drawing>
          <wp:inline distT="0" distB="0" distL="0" distR="0">
            <wp:extent cx="3467100" cy="1724025"/>
            <wp:effectExtent l="0" t="0" r="0" b="9525"/>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image.png"/>
                    <pic:cNvPicPr>
                      <a:picLocks noChangeAspect="1"/>
                    </pic:cNvPicPr>
                  </pic:nvPicPr>
                  <pic:blipFill>
                    <a:blip r:embed="rId9" cstate="print">
                      <a:extLst/>
                    </a:blip>
                    <a:stretch>
                      <a:fillRect/>
                    </a:stretch>
                  </pic:blipFill>
                  <pic:spPr>
                    <a:xfrm>
                      <a:off x="0" y="0"/>
                      <a:ext cx="3467102" cy="1724026"/>
                    </a:xfrm>
                    <a:prstGeom prst="rect">
                      <a:avLst/>
                    </a:prstGeom>
                    <a:ln w="12700" cap="flat">
                      <a:noFill/>
                      <a:miter lim="400000"/>
                    </a:ln>
                    <a:effectLst/>
                  </pic:spPr>
                </pic:pic>
              </a:graphicData>
            </a:graphic>
          </wp:inline>
        </w:drawing>
      </w:r>
    </w:p>
    <w:p w:rsidR="005902C2" w:rsidRDefault="005902C2">
      <w:pPr>
        <w:jc w:val="both"/>
        <w:rPr>
          <w:b/>
          <w:bCs/>
        </w:rPr>
      </w:pPr>
    </w:p>
    <w:p w:rsidR="004635FA" w:rsidRDefault="004B190D">
      <w:pPr>
        <w:jc w:val="both"/>
        <w:rPr>
          <w:b/>
          <w:bCs/>
        </w:rPr>
      </w:pPr>
      <w:r>
        <w:rPr>
          <w:b/>
          <w:bCs/>
        </w:rPr>
        <w:t>Biography</w:t>
      </w:r>
    </w:p>
    <w:p w:rsidR="004635FA" w:rsidRDefault="004B190D">
      <w:pPr>
        <w:jc w:val="both"/>
      </w:pPr>
      <w:r>
        <w:t>Varje-Riin Tuulik has</w:t>
      </w:r>
      <w:r w:rsidR="00B464A8">
        <w:t xml:space="preserve"> </w:t>
      </w:r>
      <w:r w:rsidR="00005272">
        <w:t>graduated from</w:t>
      </w:r>
      <w:r w:rsidR="00B464A8">
        <w:t xml:space="preserve"> Tartu University and has </w:t>
      </w:r>
      <w:r w:rsidR="006352F3">
        <w:t xml:space="preserve">the </w:t>
      </w:r>
      <w:r>
        <w:t xml:space="preserve">European </w:t>
      </w:r>
      <w:r w:rsidR="006352F3">
        <w:t>C</w:t>
      </w:r>
      <w:r w:rsidR="00B464A8">
        <w:t xml:space="preserve">ertificate </w:t>
      </w:r>
      <w:r w:rsidR="006352F3">
        <w:t>in Physical and Rehabilitation M</w:t>
      </w:r>
      <w:r>
        <w:t xml:space="preserve">edicine (PRM) </w:t>
      </w:r>
      <w:r w:rsidR="006352F3">
        <w:t>since</w:t>
      </w:r>
      <w:r w:rsidR="00B464A8">
        <w:t xml:space="preserve"> 2010. She</w:t>
      </w:r>
      <w:r>
        <w:t xml:space="preserve"> works as a senior PRM physician in West-Tallinn Central Hospital and </w:t>
      </w:r>
      <w:r w:rsidR="006352F3">
        <w:t>conducts</w:t>
      </w:r>
      <w:r>
        <w:t xml:space="preserve"> her scientific work in balneology </w:t>
      </w:r>
      <w:r w:rsidR="006352F3">
        <w:t>at</w:t>
      </w:r>
      <w:r>
        <w:t xml:space="preserve"> Tallinn University Haapsalu College. </w:t>
      </w:r>
    </w:p>
    <w:p w:rsidR="004635FA" w:rsidRDefault="004635FA">
      <w:pPr>
        <w:jc w:val="both"/>
        <w:rPr>
          <w:b/>
          <w:bCs/>
        </w:rPr>
      </w:pPr>
    </w:p>
    <w:p w:rsidR="004635FA" w:rsidRDefault="004B190D">
      <w:pPr>
        <w:rPr>
          <w:lang w:val="en-US"/>
        </w:rPr>
      </w:pPr>
      <w:r>
        <w:rPr>
          <w:b/>
          <w:bCs/>
          <w:lang w:val="en-US"/>
        </w:rPr>
        <w:t>Presenting author details:</w:t>
      </w:r>
      <w:r>
        <w:rPr>
          <w:rFonts w:ascii="Arial Unicode MS" w:hAnsi="Arial Unicode MS"/>
          <w:lang w:val="en-US"/>
        </w:rPr>
        <w:br/>
      </w:r>
      <w:r>
        <w:rPr>
          <w:lang w:val="en-US"/>
        </w:rPr>
        <w:t>Full name: Varje-Riin Tuulik</w:t>
      </w:r>
      <w:r>
        <w:rPr>
          <w:rFonts w:ascii="Arial Unicode MS" w:hAnsi="Arial Unicode MS"/>
          <w:lang w:val="en-US"/>
        </w:rPr>
        <w:br/>
      </w:r>
      <w:r>
        <w:rPr>
          <w:lang w:val="en-US"/>
        </w:rPr>
        <w:t xml:space="preserve">Contact number: </w:t>
      </w:r>
      <w:r w:rsidR="005902C2">
        <w:rPr>
          <w:lang w:val="en-US"/>
        </w:rPr>
        <w:t>+3</w:t>
      </w:r>
      <w:r>
        <w:rPr>
          <w:lang w:val="en-US"/>
        </w:rPr>
        <w:t>72 56479502</w:t>
      </w:r>
    </w:p>
    <w:p w:rsidR="004635FA" w:rsidRDefault="005902C2">
      <w:pPr>
        <w:rPr>
          <w:lang w:val="en-US"/>
        </w:rPr>
      </w:pPr>
      <w:r>
        <w:rPr>
          <w:lang w:val="en-US"/>
        </w:rPr>
        <w:t>Email id: V</w:t>
      </w:r>
      <w:r w:rsidR="004B190D">
        <w:rPr>
          <w:lang w:val="en-US"/>
        </w:rPr>
        <w:t>arje.Tuulik@keskhaigla.ee</w:t>
      </w:r>
      <w:r w:rsidR="004B190D">
        <w:rPr>
          <w:rFonts w:ascii="Arial Unicode MS" w:hAnsi="Arial Unicode MS"/>
          <w:lang w:val="en-US"/>
        </w:rPr>
        <w:br/>
      </w:r>
      <w:r w:rsidR="004B190D">
        <w:rPr>
          <w:lang w:val="en-US"/>
        </w:rPr>
        <w:t>Category: e-poster presentation</w:t>
      </w:r>
    </w:p>
    <w:p w:rsidR="004635FA" w:rsidRDefault="004B190D">
      <w:pPr>
        <w:rPr>
          <w:lang w:val="en-US"/>
        </w:rPr>
      </w:pPr>
      <w:r>
        <w:rPr>
          <w:lang w:val="en-US"/>
        </w:rPr>
        <w:t xml:space="preserve">Session name: </w:t>
      </w:r>
      <w:r w:rsidR="0019542F">
        <w:rPr>
          <w:lang w:val="en-US"/>
        </w:rPr>
        <w:t xml:space="preserve">preventive medicine and </w:t>
      </w:r>
      <w:bookmarkStart w:id="1" w:name="_GoBack"/>
      <w:bookmarkEnd w:id="1"/>
      <w:r>
        <w:rPr>
          <w:lang w:val="en-US"/>
        </w:rPr>
        <w:t xml:space="preserve">occupational </w:t>
      </w:r>
      <w:r w:rsidR="0019542F">
        <w:rPr>
          <w:lang w:val="en-US"/>
        </w:rPr>
        <w:t>health</w:t>
      </w:r>
    </w:p>
    <w:p w:rsidR="004635FA" w:rsidRDefault="004B190D">
      <w:r>
        <w:rPr>
          <w:lang w:val="en-US"/>
        </w:rPr>
        <w:t xml:space="preserve">Research interest: balneology, occupational medicine, </w:t>
      </w:r>
      <w:proofErr w:type="gramStart"/>
      <w:r>
        <w:rPr>
          <w:lang w:val="en-US"/>
        </w:rPr>
        <w:t>prevention</w:t>
      </w:r>
      <w:proofErr w:type="gramEnd"/>
      <w:r>
        <w:rPr>
          <w:lang w:val="en-US"/>
        </w:rPr>
        <w:t xml:space="preserve"> and rehabilitation</w:t>
      </w:r>
      <w:r>
        <w:rPr>
          <w:rFonts w:ascii="Arial Unicode MS" w:hAnsi="Arial Unicode MS"/>
          <w:lang w:val="en-US"/>
        </w:rPr>
        <w:br/>
      </w:r>
    </w:p>
    <w:sectPr w:rsidR="004635FA" w:rsidSect="00546B30">
      <w:headerReference w:type="even" r:id="rId10"/>
      <w:headerReference w:type="default" r:id="rId11"/>
      <w:footerReference w:type="even" r:id="rId12"/>
      <w:footerReference w:type="default" r:id="rId13"/>
      <w:pgSz w:w="11900" w:h="16840"/>
      <w:pgMar w:top="1276" w:right="1134" w:bottom="28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367D" w:rsidRDefault="00BB367D">
      <w:r>
        <w:separator/>
      </w:r>
    </w:p>
  </w:endnote>
  <w:endnote w:type="continuationSeparator" w:id="0">
    <w:p w:rsidR="00BB367D" w:rsidRDefault="00BB3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35FA" w:rsidRDefault="004635FA">
    <w:pPr>
      <w:pStyle w:val="Header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35FA" w:rsidRDefault="004635FA">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367D" w:rsidRDefault="00BB367D">
      <w:r>
        <w:separator/>
      </w:r>
    </w:p>
  </w:footnote>
  <w:footnote w:type="continuationSeparator" w:id="0">
    <w:p w:rsidR="00BB367D" w:rsidRDefault="00BB36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35FA" w:rsidRDefault="004635FA">
    <w:pPr>
      <w:pStyle w:val="HeaderFoot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35FA" w:rsidRDefault="004B190D">
    <w:pPr>
      <w:pStyle w:val="Pis"/>
      <w:tabs>
        <w:tab w:val="clear" w:pos="9638"/>
        <w:tab w:val="right" w:pos="9612"/>
      </w:tabs>
    </w:pPr>
    <w:r>
      <w:rPr>
        <w:noProof/>
      </w:rPr>
      <w:drawing>
        <wp:inline distT="0" distB="0" distL="0" distR="0">
          <wp:extent cx="6116320" cy="98559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reventive Medicine 2018.jpeg"/>
                  <pic:cNvPicPr>
                    <a:picLocks noChangeAspect="1"/>
                  </pic:cNvPicPr>
                </pic:nvPicPr>
                <pic:blipFill>
                  <a:blip r:embed="rId1">
                    <a:extLst/>
                  </a:blip>
                  <a:stretch>
                    <a:fillRect/>
                  </a:stretch>
                </pic:blipFill>
                <pic:spPr>
                  <a:xfrm>
                    <a:off x="0" y="0"/>
                    <a:ext cx="6116320" cy="985590"/>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displayBackgroundShape/>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5FA"/>
    <w:rsid w:val="00005272"/>
    <w:rsid w:val="00081B8D"/>
    <w:rsid w:val="001850DD"/>
    <w:rsid w:val="0019542F"/>
    <w:rsid w:val="00283B3F"/>
    <w:rsid w:val="00432207"/>
    <w:rsid w:val="00436123"/>
    <w:rsid w:val="004635FA"/>
    <w:rsid w:val="00483433"/>
    <w:rsid w:val="004A42AC"/>
    <w:rsid w:val="004B190D"/>
    <w:rsid w:val="00546B30"/>
    <w:rsid w:val="005902C2"/>
    <w:rsid w:val="006352F3"/>
    <w:rsid w:val="006935FB"/>
    <w:rsid w:val="00B464A8"/>
    <w:rsid w:val="00BB367D"/>
    <w:rsid w:val="00CF360B"/>
    <w:rsid w:val="00E97F5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B294A"/>
  <w15:docId w15:val="{ADAB7FD7-F555-4C52-AE00-FD0166BBE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t-EE" w:eastAsia="et-E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laad">
    <w:name w:val="Normal"/>
    <w:rPr>
      <w:rFonts w:cs="Arial Unicode MS"/>
      <w:color w:val="000000"/>
      <w:sz w:val="24"/>
      <w:szCs w:val="24"/>
      <w:u w:color="000000"/>
      <w:lang w:val="it-IT"/>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rPr>
      <w:u w:val="single"/>
    </w:rPr>
  </w:style>
  <w:style w:type="paragraph" w:styleId="Pis">
    <w:name w:val="header"/>
    <w:pPr>
      <w:tabs>
        <w:tab w:val="center" w:pos="4819"/>
        <w:tab w:val="right" w:pos="9638"/>
      </w:tabs>
    </w:pPr>
    <w:rPr>
      <w:rFonts w:cs="Arial Unicode MS"/>
      <w:color w:val="000000"/>
      <w:sz w:val="24"/>
      <w:szCs w:val="24"/>
      <w:u w:color="000000"/>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Jutumullitekst">
    <w:name w:val="Balloon Text"/>
    <w:basedOn w:val="Normaallaad"/>
    <w:link w:val="JutumullitekstMrk"/>
    <w:uiPriority w:val="99"/>
    <w:semiHidden/>
    <w:unhideWhenUsed/>
    <w:rsid w:val="00432207"/>
    <w:rPr>
      <w:rFonts w:ascii="Tahoma" w:hAnsi="Tahoma" w:cs="Tahoma"/>
      <w:sz w:val="16"/>
      <w:szCs w:val="16"/>
    </w:rPr>
  </w:style>
  <w:style w:type="character" w:customStyle="1" w:styleId="JutumullitekstMrk">
    <w:name w:val="Jutumullitekst Märk"/>
    <w:basedOn w:val="Liguvaikefont"/>
    <w:link w:val="Jutumullitekst"/>
    <w:uiPriority w:val="99"/>
    <w:semiHidden/>
    <w:rsid w:val="00432207"/>
    <w:rPr>
      <w:rFonts w:ascii="Tahoma" w:hAnsi="Tahoma" w:cs="Tahoma"/>
      <w:color w:val="000000"/>
      <w:sz w:val="16"/>
      <w:szCs w:val="16"/>
      <w:u w:color="00000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379</Words>
  <Characters>2201</Characters>
  <Application>Microsoft Office Word</Application>
  <DocSecurity>0</DocSecurity>
  <Lines>18</Lines>
  <Paragraphs>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Varje-Riin Tuulik Leisi</dc:creator>
  <cp:lastModifiedBy>Varje-Riin Tuulik</cp:lastModifiedBy>
  <cp:revision>3</cp:revision>
  <dcterms:created xsi:type="dcterms:W3CDTF">2018-07-07T18:45:00Z</dcterms:created>
  <dcterms:modified xsi:type="dcterms:W3CDTF">2018-07-07T18:51:00Z</dcterms:modified>
</cp:coreProperties>
</file>