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84AB13" w14:textId="77777777" w:rsidR="00881FCE" w:rsidRDefault="00E94EB6" w:rsidP="00F342FC">
      <w:pPr>
        <w:spacing w:line="360" w:lineRule="auto"/>
        <w:jc w:val="center"/>
        <w:rPr>
          <w:rFonts w:cstheme="minorHAnsi"/>
          <w:b/>
          <w:bCs/>
          <w:sz w:val="28"/>
          <w:szCs w:val="28"/>
        </w:rPr>
      </w:pPr>
      <w:r w:rsidRPr="00881FCE">
        <w:rPr>
          <w:rFonts w:cstheme="minorHAnsi"/>
          <w:b/>
          <w:bCs/>
          <w:sz w:val="28"/>
          <w:szCs w:val="28"/>
        </w:rPr>
        <w:t xml:space="preserve">Trends of performance indicators of Acute </w:t>
      </w:r>
      <w:r w:rsidR="004360FB" w:rsidRPr="00881FCE">
        <w:rPr>
          <w:rFonts w:cstheme="minorHAnsi"/>
          <w:b/>
          <w:bCs/>
          <w:sz w:val="28"/>
          <w:szCs w:val="28"/>
        </w:rPr>
        <w:t xml:space="preserve">Flaccid Paralysis (AFP) </w:t>
      </w:r>
    </w:p>
    <w:p w14:paraId="4F2C9622" w14:textId="67F29D2D" w:rsidR="00E94EB6" w:rsidRPr="00881FCE" w:rsidRDefault="004360FB" w:rsidP="00F342FC">
      <w:pPr>
        <w:spacing w:line="360" w:lineRule="auto"/>
        <w:jc w:val="center"/>
        <w:rPr>
          <w:rFonts w:cstheme="minorHAnsi"/>
          <w:b/>
          <w:bCs/>
          <w:sz w:val="28"/>
          <w:szCs w:val="28"/>
        </w:rPr>
      </w:pPr>
      <w:r w:rsidRPr="00881FCE">
        <w:rPr>
          <w:rFonts w:cstheme="minorHAnsi"/>
          <w:b/>
          <w:bCs/>
          <w:sz w:val="28"/>
          <w:szCs w:val="28"/>
        </w:rPr>
        <w:t xml:space="preserve">in Iraq, </w:t>
      </w:r>
      <w:r w:rsidR="00E94EB6" w:rsidRPr="00881FCE">
        <w:rPr>
          <w:rFonts w:cstheme="minorHAnsi"/>
          <w:b/>
          <w:bCs/>
          <w:sz w:val="28"/>
          <w:szCs w:val="28"/>
        </w:rPr>
        <w:t>2007</w:t>
      </w:r>
      <w:r w:rsidR="00F342FC" w:rsidRPr="00881FCE">
        <w:rPr>
          <w:rFonts w:cstheme="minorHAnsi"/>
          <w:b/>
          <w:bCs/>
          <w:sz w:val="28"/>
          <w:szCs w:val="28"/>
        </w:rPr>
        <w:t>-</w:t>
      </w:r>
      <w:r w:rsidR="00E94EB6" w:rsidRPr="00881FCE">
        <w:rPr>
          <w:rFonts w:cstheme="minorHAnsi"/>
          <w:b/>
          <w:bCs/>
          <w:sz w:val="28"/>
          <w:szCs w:val="28"/>
        </w:rPr>
        <w:t>2016</w:t>
      </w:r>
    </w:p>
    <w:p w14:paraId="624B275F" w14:textId="4DF5BF71" w:rsidR="0088686F" w:rsidRPr="00881FCE" w:rsidRDefault="001A1582" w:rsidP="001A1582">
      <w:pPr>
        <w:spacing w:line="360" w:lineRule="auto"/>
        <w:jc w:val="center"/>
        <w:rPr>
          <w:rFonts w:cstheme="minorHAnsi"/>
          <w:b/>
          <w:bCs/>
          <w:sz w:val="24"/>
          <w:szCs w:val="24"/>
        </w:rPr>
      </w:pPr>
      <w:proofErr w:type="spellStart"/>
      <w:r w:rsidRPr="00881FCE">
        <w:rPr>
          <w:rFonts w:cstheme="minorHAnsi"/>
          <w:b/>
          <w:bCs/>
          <w:sz w:val="24"/>
          <w:szCs w:val="24"/>
        </w:rPr>
        <w:t>Safaa</w:t>
      </w:r>
      <w:proofErr w:type="spellEnd"/>
      <w:r w:rsidRPr="00881FCE">
        <w:rPr>
          <w:rFonts w:cstheme="minorHAnsi"/>
          <w:b/>
          <w:bCs/>
          <w:sz w:val="24"/>
          <w:szCs w:val="24"/>
        </w:rPr>
        <w:t xml:space="preserve"> </w:t>
      </w:r>
      <w:proofErr w:type="spellStart"/>
      <w:r w:rsidRPr="00881FCE">
        <w:rPr>
          <w:rFonts w:cstheme="minorHAnsi"/>
          <w:b/>
          <w:bCs/>
          <w:sz w:val="24"/>
          <w:szCs w:val="24"/>
        </w:rPr>
        <w:t>Saadoon</w:t>
      </w:r>
      <w:proofErr w:type="spellEnd"/>
      <w:r w:rsidRPr="00881FCE">
        <w:rPr>
          <w:rFonts w:cstheme="minorHAnsi"/>
          <w:b/>
          <w:bCs/>
          <w:sz w:val="24"/>
          <w:szCs w:val="24"/>
        </w:rPr>
        <w:t xml:space="preserve">, A </w:t>
      </w:r>
      <w:proofErr w:type="spellStart"/>
      <w:r w:rsidRPr="00881FCE">
        <w:rPr>
          <w:rFonts w:cstheme="minorHAnsi"/>
          <w:b/>
          <w:bCs/>
          <w:sz w:val="24"/>
          <w:szCs w:val="24"/>
        </w:rPr>
        <w:t>Asaad</w:t>
      </w:r>
      <w:proofErr w:type="spellEnd"/>
      <w:r w:rsidRPr="00881FCE">
        <w:rPr>
          <w:rFonts w:cstheme="minorHAnsi"/>
          <w:b/>
          <w:bCs/>
          <w:sz w:val="24"/>
          <w:szCs w:val="24"/>
        </w:rPr>
        <w:t xml:space="preserve">, F </w:t>
      </w:r>
      <w:proofErr w:type="spellStart"/>
      <w:r w:rsidRPr="00881FCE">
        <w:rPr>
          <w:rFonts w:cstheme="minorHAnsi"/>
          <w:b/>
          <w:bCs/>
          <w:sz w:val="24"/>
          <w:szCs w:val="24"/>
        </w:rPr>
        <w:t>Lami</w:t>
      </w:r>
      <w:proofErr w:type="spellEnd"/>
      <w:r w:rsidRPr="00881FCE">
        <w:rPr>
          <w:rFonts w:cstheme="minorHAnsi"/>
          <w:b/>
          <w:bCs/>
          <w:sz w:val="24"/>
          <w:szCs w:val="24"/>
        </w:rPr>
        <w:t xml:space="preserve">, Y, </w:t>
      </w:r>
      <w:proofErr w:type="spellStart"/>
      <w:r w:rsidRPr="00881FCE">
        <w:rPr>
          <w:rFonts w:cstheme="minorHAnsi"/>
          <w:b/>
          <w:bCs/>
          <w:sz w:val="24"/>
          <w:szCs w:val="24"/>
        </w:rPr>
        <w:t>Hafidh</w:t>
      </w:r>
      <w:proofErr w:type="spellEnd"/>
      <w:r w:rsidRPr="00881FCE">
        <w:rPr>
          <w:rFonts w:cstheme="minorHAnsi"/>
          <w:b/>
          <w:bCs/>
          <w:sz w:val="24"/>
          <w:szCs w:val="24"/>
        </w:rPr>
        <w:t>, M Abbas,</w:t>
      </w:r>
    </w:p>
    <w:p w14:paraId="30D6C405" w14:textId="4CF665BC" w:rsidR="00724DB6" w:rsidRPr="00881FCE" w:rsidRDefault="00724DB6" w:rsidP="0020072E">
      <w:pPr>
        <w:spacing w:line="360" w:lineRule="auto"/>
        <w:jc w:val="both"/>
        <w:rPr>
          <w:rFonts w:cstheme="minorHAnsi"/>
          <w:sz w:val="24"/>
          <w:szCs w:val="24"/>
        </w:rPr>
      </w:pPr>
      <w:bookmarkStart w:id="0" w:name="_Hlk499381136"/>
      <w:r w:rsidRPr="00881FCE">
        <w:rPr>
          <w:rFonts w:cstheme="minorHAnsi"/>
          <w:b/>
          <w:bCs/>
          <w:sz w:val="24"/>
          <w:szCs w:val="24"/>
        </w:rPr>
        <w:t>Introduction:</w:t>
      </w:r>
      <w:r w:rsidRPr="00881FCE">
        <w:rPr>
          <w:rFonts w:cstheme="minorHAnsi"/>
          <w:sz w:val="24"/>
          <w:szCs w:val="24"/>
        </w:rPr>
        <w:t xml:space="preserve"> </w:t>
      </w:r>
      <w:r w:rsidRPr="00881FCE">
        <w:rPr>
          <w:rFonts w:eastAsia="Times New Roman" w:cstheme="minorHAnsi"/>
          <w:noProof/>
          <w:sz w:val="24"/>
          <w:szCs w:val="24"/>
        </w:rPr>
        <w:t xml:space="preserve">AFP Surveillance is a key strategy </w:t>
      </w:r>
      <w:r w:rsidRPr="00881FCE">
        <w:rPr>
          <w:rFonts w:cstheme="minorHAnsi"/>
          <w:sz w:val="24"/>
          <w:szCs w:val="24"/>
        </w:rPr>
        <w:t>of Global Polio Eradication</w:t>
      </w:r>
      <w:r w:rsidRPr="00881FCE">
        <w:rPr>
          <w:rFonts w:eastAsia="Times New Roman" w:cstheme="minorHAnsi"/>
          <w:noProof/>
          <w:sz w:val="24"/>
          <w:szCs w:val="24"/>
        </w:rPr>
        <w:t>.</w:t>
      </w:r>
      <w:r w:rsidRPr="00881FCE">
        <w:rPr>
          <w:rFonts w:eastAsiaTheme="minorEastAsia" w:cstheme="minorHAnsi"/>
          <w:kern w:val="24"/>
          <w:sz w:val="24"/>
          <w:szCs w:val="24"/>
        </w:rPr>
        <w:t xml:space="preserve"> </w:t>
      </w:r>
      <w:r w:rsidRPr="00881FCE">
        <w:rPr>
          <w:rFonts w:cstheme="minorHAnsi"/>
          <w:sz w:val="24"/>
          <w:szCs w:val="24"/>
        </w:rPr>
        <w:t xml:space="preserve">In Iraq, it </w:t>
      </w:r>
      <w:r w:rsidR="00192819" w:rsidRPr="00881FCE">
        <w:rPr>
          <w:rFonts w:cstheme="minorHAnsi"/>
          <w:sz w:val="24"/>
          <w:szCs w:val="24"/>
        </w:rPr>
        <w:t xml:space="preserve">is </w:t>
      </w:r>
      <w:r w:rsidRPr="00881FCE">
        <w:rPr>
          <w:rFonts w:cstheme="minorHAnsi"/>
          <w:sz w:val="24"/>
          <w:szCs w:val="24"/>
        </w:rPr>
        <w:t xml:space="preserve">started in 1995. </w:t>
      </w:r>
      <w:r w:rsidRPr="00881FCE">
        <w:rPr>
          <w:rFonts w:eastAsiaTheme="minorEastAsia" w:cstheme="minorHAnsi"/>
          <w:kern w:val="24"/>
          <w:sz w:val="24"/>
          <w:szCs w:val="24"/>
        </w:rPr>
        <w:t xml:space="preserve">WHO established </w:t>
      </w:r>
      <w:r w:rsidR="00117EE5" w:rsidRPr="00881FCE">
        <w:rPr>
          <w:rFonts w:eastAsiaTheme="minorEastAsia" w:cstheme="minorHAnsi"/>
          <w:kern w:val="24"/>
          <w:sz w:val="24"/>
          <w:szCs w:val="24"/>
        </w:rPr>
        <w:t>some</w:t>
      </w:r>
      <w:r w:rsidRPr="00881FCE">
        <w:rPr>
          <w:rFonts w:eastAsiaTheme="minorEastAsia" w:cstheme="minorHAnsi"/>
          <w:kern w:val="24"/>
          <w:sz w:val="24"/>
          <w:szCs w:val="24"/>
        </w:rPr>
        <w:t xml:space="preserve"> performance indicators</w:t>
      </w:r>
      <w:r w:rsidR="005C6D09" w:rsidRPr="00881FCE">
        <w:rPr>
          <w:rFonts w:eastAsiaTheme="minorEastAsia" w:cstheme="minorHAnsi"/>
          <w:kern w:val="24"/>
          <w:sz w:val="24"/>
          <w:szCs w:val="24"/>
        </w:rPr>
        <w:t xml:space="preserve"> that </w:t>
      </w:r>
      <w:r w:rsidR="001C7139" w:rsidRPr="00881FCE">
        <w:rPr>
          <w:rFonts w:eastAsiaTheme="minorEastAsia" w:cstheme="minorHAnsi"/>
          <w:kern w:val="24"/>
          <w:sz w:val="24"/>
          <w:szCs w:val="24"/>
        </w:rPr>
        <w:t>should be used</w:t>
      </w:r>
      <w:r w:rsidRPr="00881FCE">
        <w:rPr>
          <w:rFonts w:eastAsiaTheme="minorEastAsia" w:cstheme="minorHAnsi"/>
          <w:kern w:val="24"/>
          <w:sz w:val="24"/>
          <w:szCs w:val="24"/>
        </w:rPr>
        <w:t xml:space="preserve"> to assess the quality of AFP surveillance.</w:t>
      </w:r>
      <w:r w:rsidR="00192819" w:rsidRPr="00881FCE">
        <w:rPr>
          <w:rFonts w:cstheme="minorHAnsi"/>
          <w:color w:val="FF0000"/>
          <w:sz w:val="24"/>
          <w:szCs w:val="24"/>
        </w:rPr>
        <w:t xml:space="preserve"> </w:t>
      </w:r>
      <w:r w:rsidR="00192819" w:rsidRPr="00881FCE">
        <w:rPr>
          <w:rFonts w:cstheme="minorHAnsi"/>
          <w:sz w:val="24"/>
          <w:szCs w:val="24"/>
        </w:rPr>
        <w:t xml:space="preserve">The objective of this study is to </w:t>
      </w:r>
      <w:r w:rsidRPr="00881FCE">
        <w:rPr>
          <w:rFonts w:cstheme="minorHAnsi"/>
          <w:sz w:val="24"/>
          <w:szCs w:val="24"/>
        </w:rPr>
        <w:t>identify the trends of different performance indicators of AFP in Iraq, 2007 – 2016.</w:t>
      </w:r>
    </w:p>
    <w:p w14:paraId="3A2AB142" w14:textId="6AF947B1" w:rsidR="00724DB6" w:rsidRPr="00881FCE" w:rsidRDefault="00724DB6" w:rsidP="0020072E">
      <w:pPr>
        <w:spacing w:line="360" w:lineRule="auto"/>
        <w:jc w:val="both"/>
        <w:rPr>
          <w:rFonts w:cstheme="minorHAnsi"/>
          <w:b/>
          <w:bCs/>
          <w:sz w:val="24"/>
          <w:szCs w:val="24"/>
        </w:rPr>
      </w:pPr>
      <w:r w:rsidRPr="00881FCE">
        <w:rPr>
          <w:rFonts w:cstheme="minorHAnsi"/>
          <w:b/>
          <w:bCs/>
          <w:sz w:val="24"/>
          <w:szCs w:val="24"/>
        </w:rPr>
        <w:t xml:space="preserve">Method: </w:t>
      </w:r>
      <w:r w:rsidR="00192819" w:rsidRPr="00881FCE">
        <w:rPr>
          <w:rFonts w:cstheme="minorHAnsi"/>
          <w:sz w:val="24"/>
          <w:szCs w:val="24"/>
        </w:rPr>
        <w:t>We r</w:t>
      </w:r>
      <w:r w:rsidRPr="00881FCE">
        <w:rPr>
          <w:rFonts w:cstheme="minorHAnsi"/>
          <w:sz w:val="24"/>
          <w:szCs w:val="24"/>
        </w:rPr>
        <w:t>eview</w:t>
      </w:r>
      <w:r w:rsidR="00192819" w:rsidRPr="00881FCE">
        <w:rPr>
          <w:rFonts w:cstheme="minorHAnsi"/>
          <w:sz w:val="24"/>
          <w:szCs w:val="24"/>
        </w:rPr>
        <w:t>ed</w:t>
      </w:r>
      <w:r w:rsidRPr="00881FCE">
        <w:rPr>
          <w:rFonts w:cstheme="minorHAnsi"/>
          <w:sz w:val="24"/>
          <w:szCs w:val="24"/>
        </w:rPr>
        <w:t xml:space="preserve"> AFP surveillance data in the IFA (Information for Action) software </w:t>
      </w:r>
      <w:r w:rsidR="00192819" w:rsidRPr="00881FCE">
        <w:rPr>
          <w:rFonts w:cstheme="minorHAnsi"/>
          <w:sz w:val="24"/>
          <w:szCs w:val="24"/>
        </w:rPr>
        <w:t>for 2007-</w:t>
      </w:r>
      <w:r w:rsidRPr="00881FCE">
        <w:rPr>
          <w:rFonts w:cstheme="minorHAnsi"/>
          <w:sz w:val="24"/>
          <w:szCs w:val="24"/>
        </w:rPr>
        <w:t xml:space="preserve">2016. The data were </w:t>
      </w:r>
      <w:r w:rsidR="00192819" w:rsidRPr="00881FCE">
        <w:rPr>
          <w:rFonts w:cstheme="minorHAnsi"/>
          <w:sz w:val="24"/>
          <w:szCs w:val="24"/>
        </w:rPr>
        <w:t>compiled from almost all public health outlets</w:t>
      </w:r>
      <w:r w:rsidRPr="00881FCE">
        <w:rPr>
          <w:rFonts w:cstheme="minorHAnsi"/>
          <w:sz w:val="24"/>
          <w:szCs w:val="24"/>
        </w:rPr>
        <w:t xml:space="preserve"> in </w:t>
      </w:r>
      <w:r w:rsidR="00192819" w:rsidRPr="00881FCE">
        <w:rPr>
          <w:rFonts w:cstheme="minorHAnsi"/>
          <w:sz w:val="24"/>
          <w:szCs w:val="24"/>
        </w:rPr>
        <w:t xml:space="preserve">Iraq and compiled at </w:t>
      </w:r>
      <w:r w:rsidRPr="00881FCE">
        <w:rPr>
          <w:rFonts w:cstheme="minorHAnsi"/>
          <w:sz w:val="24"/>
          <w:szCs w:val="24"/>
        </w:rPr>
        <w:t>the National AFP surveillance office. Six</w:t>
      </w:r>
      <w:r w:rsidR="00795C63" w:rsidRPr="00881FCE">
        <w:rPr>
          <w:rFonts w:cstheme="minorHAnsi"/>
          <w:sz w:val="24"/>
          <w:szCs w:val="24"/>
        </w:rPr>
        <w:t xml:space="preserve"> WHO</w:t>
      </w:r>
      <w:r w:rsidRPr="00881FCE">
        <w:rPr>
          <w:rFonts w:cstheme="minorHAnsi"/>
          <w:sz w:val="24"/>
          <w:szCs w:val="24"/>
        </w:rPr>
        <w:t xml:space="preserve"> indicators were </w:t>
      </w:r>
      <w:r w:rsidR="006127A6" w:rsidRPr="00881FCE">
        <w:rPr>
          <w:rFonts w:cstheme="minorHAnsi"/>
          <w:sz w:val="24"/>
          <w:szCs w:val="24"/>
        </w:rPr>
        <w:t>reviewed: Non-polio AFP</w:t>
      </w:r>
      <w:r w:rsidR="00F96F7D" w:rsidRPr="00881FCE">
        <w:rPr>
          <w:rFonts w:cstheme="minorHAnsi"/>
          <w:sz w:val="24"/>
          <w:szCs w:val="24"/>
        </w:rPr>
        <w:t xml:space="preserve"> </w:t>
      </w:r>
      <w:r w:rsidR="006127A6" w:rsidRPr="00881FCE">
        <w:rPr>
          <w:rFonts w:cstheme="minorHAnsi"/>
          <w:sz w:val="24"/>
          <w:szCs w:val="24"/>
        </w:rPr>
        <w:t xml:space="preserve">rate &lt;15 years of age (Target </w:t>
      </w:r>
      <w:r w:rsidR="001708A0" w:rsidRPr="00881FCE">
        <w:rPr>
          <w:rFonts w:cstheme="minorHAnsi"/>
          <w:sz w:val="24"/>
          <w:szCs w:val="24"/>
        </w:rPr>
        <w:t>&gt;</w:t>
      </w:r>
      <w:r w:rsidR="006127A6" w:rsidRPr="00881FCE">
        <w:rPr>
          <w:rFonts w:cstheme="minorHAnsi"/>
          <w:sz w:val="24"/>
          <w:szCs w:val="24"/>
        </w:rPr>
        <w:t>2/100,000),</w:t>
      </w:r>
      <w:r w:rsidR="0020072E" w:rsidRPr="00881FCE">
        <w:rPr>
          <w:rFonts w:cstheme="minorHAnsi" w:hint="cs"/>
          <w:sz w:val="24"/>
          <w:szCs w:val="24"/>
          <w:rtl/>
        </w:rPr>
        <w:t xml:space="preserve"> </w:t>
      </w:r>
      <w:r w:rsidR="006127A6" w:rsidRPr="00881FCE">
        <w:rPr>
          <w:rFonts w:cstheme="minorHAnsi"/>
          <w:sz w:val="24"/>
          <w:szCs w:val="24"/>
        </w:rPr>
        <w:t>Re</w:t>
      </w:r>
      <w:r w:rsidR="00650653" w:rsidRPr="00881FCE">
        <w:rPr>
          <w:rFonts w:cstheme="minorHAnsi"/>
          <w:sz w:val="24"/>
          <w:szCs w:val="24"/>
        </w:rPr>
        <w:t>ported AFP cases investigated &lt;</w:t>
      </w:r>
      <w:r w:rsidR="006127A6" w:rsidRPr="00881FCE">
        <w:rPr>
          <w:rFonts w:cstheme="minorHAnsi"/>
          <w:sz w:val="24"/>
          <w:szCs w:val="24"/>
        </w:rPr>
        <w:t xml:space="preserve">48 hours of report </w:t>
      </w:r>
      <w:r w:rsidR="00650653" w:rsidRPr="00881FCE">
        <w:rPr>
          <w:rFonts w:cstheme="minorHAnsi"/>
          <w:sz w:val="24"/>
          <w:szCs w:val="24"/>
        </w:rPr>
        <w:t>(Target &gt;</w:t>
      </w:r>
      <w:r w:rsidR="006127A6" w:rsidRPr="00881FCE">
        <w:rPr>
          <w:rFonts w:cstheme="minorHAnsi"/>
          <w:sz w:val="24"/>
          <w:szCs w:val="24"/>
        </w:rPr>
        <w:t xml:space="preserve">80%), Reported AFP cases with 2 specimens collected &lt;14 days since onset (Stool adequacy) </w:t>
      </w:r>
      <w:r w:rsidR="00893B24" w:rsidRPr="00881FCE">
        <w:rPr>
          <w:rFonts w:cstheme="minorHAnsi"/>
          <w:sz w:val="24"/>
          <w:szCs w:val="24"/>
        </w:rPr>
        <w:t>(Target &gt;</w:t>
      </w:r>
      <w:r w:rsidR="006127A6" w:rsidRPr="00881FCE">
        <w:rPr>
          <w:rFonts w:cstheme="minorHAnsi"/>
          <w:sz w:val="24"/>
          <w:szCs w:val="24"/>
        </w:rPr>
        <w:t xml:space="preserve">80%), Specimens arriving at national laboratory &lt;3 days of being sent (Target &gt;90%), Specimens arriving at laboratory in good </w:t>
      </w:r>
      <w:r w:rsidR="00B47B3F" w:rsidRPr="00881FCE">
        <w:rPr>
          <w:rFonts w:cstheme="minorHAnsi"/>
          <w:sz w:val="24"/>
          <w:szCs w:val="24"/>
        </w:rPr>
        <w:t>condition (</w:t>
      </w:r>
      <w:r w:rsidR="00893B24" w:rsidRPr="00881FCE">
        <w:rPr>
          <w:rFonts w:cstheme="minorHAnsi"/>
          <w:sz w:val="24"/>
          <w:szCs w:val="24"/>
        </w:rPr>
        <w:t>Target &gt;</w:t>
      </w:r>
      <w:r w:rsidR="006127A6" w:rsidRPr="00881FCE">
        <w:rPr>
          <w:rFonts w:cstheme="minorHAnsi"/>
          <w:sz w:val="24"/>
          <w:szCs w:val="24"/>
        </w:rPr>
        <w:t>80%) and Stool specimens from which non-polio enterovirus was isolated (NPEV%) (Target &gt;</w:t>
      </w:r>
      <w:r w:rsidR="00795C63" w:rsidRPr="00881FCE">
        <w:rPr>
          <w:rFonts w:cstheme="minorHAnsi"/>
          <w:sz w:val="24"/>
          <w:szCs w:val="24"/>
        </w:rPr>
        <w:t>10%).</w:t>
      </w:r>
    </w:p>
    <w:p w14:paraId="62DB6EFD" w14:textId="171CB67E" w:rsidR="0062435E" w:rsidRPr="00881FCE" w:rsidRDefault="00724DB6" w:rsidP="00D608D2">
      <w:pPr>
        <w:spacing w:line="360" w:lineRule="auto"/>
        <w:jc w:val="both"/>
        <w:rPr>
          <w:rFonts w:cstheme="minorHAnsi"/>
          <w:sz w:val="24"/>
          <w:szCs w:val="24"/>
        </w:rPr>
      </w:pPr>
      <w:r w:rsidRPr="00881FCE">
        <w:rPr>
          <w:rFonts w:cstheme="minorHAnsi"/>
          <w:b/>
          <w:bCs/>
          <w:sz w:val="24"/>
          <w:szCs w:val="24"/>
        </w:rPr>
        <w:t>Results:</w:t>
      </w:r>
      <w:r w:rsidRPr="00881FCE">
        <w:rPr>
          <w:rFonts w:cstheme="minorHAnsi"/>
          <w:sz w:val="24"/>
          <w:szCs w:val="24"/>
        </w:rPr>
        <w:t xml:space="preserve"> A total of 4,915 cases were reported; 35% </w:t>
      </w:r>
      <w:r w:rsidR="00192819" w:rsidRPr="00881FCE">
        <w:rPr>
          <w:rFonts w:cstheme="minorHAnsi"/>
          <w:sz w:val="24"/>
          <w:szCs w:val="24"/>
        </w:rPr>
        <w:t>aged</w:t>
      </w:r>
      <w:r w:rsidRPr="00881FCE">
        <w:rPr>
          <w:rFonts w:cstheme="minorHAnsi"/>
          <w:sz w:val="24"/>
          <w:szCs w:val="24"/>
        </w:rPr>
        <w:t xml:space="preserve"> </w:t>
      </w:r>
      <w:r w:rsidR="00192819" w:rsidRPr="00881FCE">
        <w:rPr>
          <w:rFonts w:cstheme="minorHAnsi"/>
          <w:sz w:val="24"/>
          <w:szCs w:val="24"/>
        </w:rPr>
        <w:t xml:space="preserve">&lt;2 </w:t>
      </w:r>
      <w:r w:rsidRPr="00881FCE">
        <w:rPr>
          <w:rFonts w:cstheme="minorHAnsi"/>
          <w:sz w:val="24"/>
          <w:szCs w:val="24"/>
        </w:rPr>
        <w:t xml:space="preserve">years, 60% </w:t>
      </w:r>
      <w:r w:rsidR="00192819" w:rsidRPr="00881FCE">
        <w:rPr>
          <w:rFonts w:cstheme="minorHAnsi"/>
          <w:sz w:val="24"/>
          <w:szCs w:val="24"/>
        </w:rPr>
        <w:t>were male, 60</w:t>
      </w:r>
      <w:r w:rsidRPr="00881FCE">
        <w:rPr>
          <w:rFonts w:cstheme="minorHAnsi"/>
          <w:sz w:val="24"/>
          <w:szCs w:val="24"/>
        </w:rPr>
        <w:t>% had feve</w:t>
      </w:r>
      <w:r w:rsidR="00192819" w:rsidRPr="00881FCE">
        <w:rPr>
          <w:rFonts w:cstheme="minorHAnsi"/>
          <w:sz w:val="24"/>
          <w:szCs w:val="24"/>
        </w:rPr>
        <w:t>r at onset of paralysis and 38</w:t>
      </w:r>
      <w:r w:rsidRPr="00881FCE">
        <w:rPr>
          <w:rFonts w:cstheme="minorHAnsi"/>
          <w:sz w:val="24"/>
          <w:szCs w:val="24"/>
        </w:rPr>
        <w:t xml:space="preserve">% had </w:t>
      </w:r>
      <w:r w:rsidR="00192819" w:rsidRPr="00881FCE">
        <w:rPr>
          <w:rFonts w:cstheme="minorHAnsi"/>
          <w:sz w:val="24"/>
          <w:szCs w:val="24"/>
        </w:rPr>
        <w:t>asymmetrical Paralysis. Only 1.3% received no OPV vaccine, 77</w:t>
      </w:r>
      <w:r w:rsidRPr="00881FCE">
        <w:rPr>
          <w:rFonts w:cstheme="minorHAnsi"/>
          <w:sz w:val="24"/>
          <w:szCs w:val="24"/>
        </w:rPr>
        <w:t xml:space="preserve">% received &gt;3 doses. </w:t>
      </w:r>
      <w:r w:rsidR="00192819" w:rsidRPr="00881FCE">
        <w:rPr>
          <w:rFonts w:cstheme="minorHAnsi"/>
          <w:sz w:val="24"/>
          <w:szCs w:val="24"/>
        </w:rPr>
        <w:t>At s</w:t>
      </w:r>
      <w:r w:rsidRPr="00881FCE">
        <w:rPr>
          <w:rFonts w:cstheme="minorHAnsi"/>
          <w:sz w:val="24"/>
          <w:szCs w:val="24"/>
        </w:rPr>
        <w:t>ixty days' examination 2</w:t>
      </w:r>
      <w:r w:rsidR="00192819" w:rsidRPr="00881FCE">
        <w:rPr>
          <w:rFonts w:cstheme="minorHAnsi"/>
          <w:sz w:val="24"/>
          <w:szCs w:val="24"/>
        </w:rPr>
        <w:t>4</w:t>
      </w:r>
      <w:r w:rsidRPr="00881FCE">
        <w:rPr>
          <w:rFonts w:cstheme="minorHAnsi"/>
          <w:sz w:val="24"/>
          <w:szCs w:val="24"/>
        </w:rPr>
        <w:t>% had residual paralysis. Seven cases were vaccine-derived, 156 cases were Sabin-like polioviruses and no vaccine-associated polio case. Two wild polio cases reported in 2014. Guillain-Barre synd</w:t>
      </w:r>
      <w:r w:rsidR="00D608D2" w:rsidRPr="00881FCE">
        <w:rPr>
          <w:rFonts w:cstheme="minorHAnsi"/>
          <w:sz w:val="24"/>
          <w:szCs w:val="24"/>
        </w:rPr>
        <w:t>rome accounted</w:t>
      </w:r>
      <w:r w:rsidR="00F96F7D" w:rsidRPr="00881FCE">
        <w:rPr>
          <w:rFonts w:cstheme="minorHAnsi"/>
          <w:sz w:val="24"/>
          <w:szCs w:val="24"/>
        </w:rPr>
        <w:t xml:space="preserve"> for 51% of cases. </w:t>
      </w:r>
      <w:r w:rsidR="00D608D2" w:rsidRPr="00881FCE">
        <w:rPr>
          <w:rFonts w:cstheme="minorHAnsi"/>
          <w:sz w:val="24"/>
          <w:szCs w:val="24"/>
        </w:rPr>
        <w:t>S</w:t>
      </w:r>
      <w:r w:rsidRPr="00881FCE">
        <w:rPr>
          <w:rFonts w:cstheme="minorHAnsi"/>
          <w:sz w:val="24"/>
          <w:szCs w:val="24"/>
        </w:rPr>
        <w:t xml:space="preserve">pecimens arriving at the national laboratory &lt;3 days was not achieved during the whole period. </w:t>
      </w:r>
      <w:r w:rsidR="00F96F7D" w:rsidRPr="00881FCE">
        <w:rPr>
          <w:rFonts w:cstheme="minorHAnsi"/>
          <w:sz w:val="24"/>
          <w:szCs w:val="24"/>
        </w:rPr>
        <w:t xml:space="preserve">NPEV% </w:t>
      </w:r>
      <w:r w:rsidRPr="00881FCE">
        <w:rPr>
          <w:rFonts w:cstheme="minorHAnsi"/>
          <w:sz w:val="24"/>
          <w:szCs w:val="24"/>
        </w:rPr>
        <w:t>achieved the target except in 2013</w:t>
      </w:r>
      <w:r w:rsidR="002151C0" w:rsidRPr="00881FCE">
        <w:rPr>
          <w:rFonts w:cstheme="minorHAnsi"/>
          <w:sz w:val="24"/>
          <w:szCs w:val="24"/>
        </w:rPr>
        <w:t xml:space="preserve"> (7.3%)</w:t>
      </w:r>
      <w:r w:rsidRPr="00881FCE">
        <w:rPr>
          <w:rFonts w:cstheme="minorHAnsi"/>
          <w:sz w:val="24"/>
          <w:szCs w:val="24"/>
        </w:rPr>
        <w:t xml:space="preserve">. All other indicators </w:t>
      </w:r>
      <w:r w:rsidR="005B61F2" w:rsidRPr="00881FCE">
        <w:rPr>
          <w:rFonts w:cstheme="minorHAnsi"/>
          <w:sz w:val="24"/>
          <w:szCs w:val="24"/>
        </w:rPr>
        <w:t xml:space="preserve">achieved </w:t>
      </w:r>
      <w:r w:rsidR="00D608D2" w:rsidRPr="00881FCE">
        <w:rPr>
          <w:rFonts w:cstheme="minorHAnsi"/>
          <w:sz w:val="24"/>
          <w:szCs w:val="24"/>
        </w:rPr>
        <w:t>the target throughout</w:t>
      </w:r>
      <w:r w:rsidR="005B61F2" w:rsidRPr="00881FCE">
        <w:rPr>
          <w:rFonts w:cstheme="minorHAnsi"/>
          <w:sz w:val="24"/>
          <w:szCs w:val="24"/>
        </w:rPr>
        <w:t xml:space="preserve"> </w:t>
      </w:r>
      <w:r w:rsidR="0062435E" w:rsidRPr="00881FCE">
        <w:rPr>
          <w:rFonts w:cstheme="minorHAnsi"/>
          <w:sz w:val="24"/>
          <w:szCs w:val="24"/>
        </w:rPr>
        <w:t>the whole period.</w:t>
      </w:r>
    </w:p>
    <w:p w14:paraId="068D9D3F" w14:textId="796D0F58" w:rsidR="00BB091E" w:rsidRPr="00881FCE" w:rsidRDefault="00881FCE" w:rsidP="00881FCE">
      <w:pPr>
        <w:spacing w:line="360" w:lineRule="auto"/>
        <w:jc w:val="both"/>
        <w:rPr>
          <w:sz w:val="20"/>
          <w:szCs w:val="20"/>
        </w:rPr>
      </w:pPr>
      <w:r>
        <w:rPr>
          <w:rFonts w:cstheme="minorHAnsi"/>
          <w:b/>
          <w:bCs/>
          <w:sz w:val="24"/>
          <w:szCs w:val="24"/>
        </w:rPr>
        <w:t>Conclusions</w:t>
      </w:r>
      <w:r w:rsidR="00724DB6" w:rsidRPr="00881FCE">
        <w:rPr>
          <w:rFonts w:cstheme="minorHAnsi"/>
          <w:b/>
          <w:bCs/>
          <w:sz w:val="24"/>
          <w:szCs w:val="24"/>
        </w:rPr>
        <w:t>:</w:t>
      </w:r>
      <w:r w:rsidR="00724DB6" w:rsidRPr="00881FCE">
        <w:rPr>
          <w:rFonts w:cstheme="minorHAnsi"/>
          <w:sz w:val="24"/>
          <w:szCs w:val="24"/>
        </w:rPr>
        <w:t xml:space="preserve"> </w:t>
      </w:r>
      <w:r w:rsidR="00D501B4" w:rsidRPr="00881FCE">
        <w:rPr>
          <w:rFonts w:cstheme="minorHAnsi"/>
          <w:sz w:val="24"/>
          <w:szCs w:val="24"/>
        </w:rPr>
        <w:t>While most indicators achieved the standard, a</w:t>
      </w:r>
      <w:r w:rsidR="00724DB6" w:rsidRPr="00881FCE">
        <w:rPr>
          <w:rFonts w:cstheme="minorHAnsi"/>
          <w:sz w:val="24"/>
          <w:szCs w:val="24"/>
        </w:rPr>
        <w:t xml:space="preserve">dditional efforts are </w:t>
      </w:r>
      <w:r w:rsidR="00D501B4" w:rsidRPr="00881FCE">
        <w:rPr>
          <w:rFonts w:cstheme="minorHAnsi"/>
          <w:sz w:val="24"/>
          <w:szCs w:val="24"/>
        </w:rPr>
        <w:t xml:space="preserve">still </w:t>
      </w:r>
      <w:r w:rsidR="00724DB6" w:rsidRPr="00881FCE">
        <w:rPr>
          <w:rFonts w:cstheme="minorHAnsi"/>
          <w:sz w:val="24"/>
          <w:szCs w:val="24"/>
        </w:rPr>
        <w:t>needed to address timeliness of adequate stool spec</w:t>
      </w:r>
      <w:r w:rsidR="00D501B4" w:rsidRPr="00881FCE">
        <w:rPr>
          <w:rFonts w:cstheme="minorHAnsi"/>
          <w:sz w:val="24"/>
          <w:szCs w:val="24"/>
        </w:rPr>
        <w:t>imens' arrival to the laboratory. We are currently working on similar analysis at govern</w:t>
      </w:r>
      <w:bookmarkStart w:id="1" w:name="_GoBack"/>
      <w:bookmarkEnd w:id="1"/>
      <w:r w:rsidR="00D501B4" w:rsidRPr="00881FCE">
        <w:rPr>
          <w:rFonts w:cstheme="minorHAnsi"/>
          <w:sz w:val="24"/>
          <w:szCs w:val="24"/>
        </w:rPr>
        <w:t xml:space="preserve">orates and districts levels. </w:t>
      </w:r>
      <w:bookmarkEnd w:id="0"/>
    </w:p>
    <w:sectPr w:rsidR="00BB091E" w:rsidRPr="00881FC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ootlight MT Light"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aditional Arabic">
    <w:charset w:val="00"/>
    <w:family w:val="roman"/>
    <w:pitch w:val="variable"/>
    <w:sig w:usb0="00002003" w:usb1="80000000" w:usb2="00000008" w:usb3="00000000" w:csb0="00000041" w:csb1="00000000"/>
  </w:font>
  <w:font w:name="Garamond">
    <w:charset w:val="00"/>
    <w:family w:val="roman"/>
    <w:pitch w:val="variable"/>
    <w:sig w:usb0="00000287" w:usb1="00000000" w:usb2="00000000" w:usb3="00000000" w:csb0="0000009F" w:csb1="00000000"/>
  </w:font>
  <w:font w:name="Segoe UI">
    <w:charset w:val="00"/>
    <w:family w:val="swiss"/>
    <w:pitch w:val="variable"/>
    <w:sig w:usb0="E10022FF" w:usb1="C000E47F" w:usb2="00000029" w:usb3="00000000" w:csb0="000001DF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4EB6"/>
    <w:rsid w:val="00077920"/>
    <w:rsid w:val="00081E78"/>
    <w:rsid w:val="0009534F"/>
    <w:rsid w:val="000D490C"/>
    <w:rsid w:val="000E6F7B"/>
    <w:rsid w:val="000F06E7"/>
    <w:rsid w:val="00117EE5"/>
    <w:rsid w:val="001323E8"/>
    <w:rsid w:val="00152F8F"/>
    <w:rsid w:val="00155EC7"/>
    <w:rsid w:val="0015784A"/>
    <w:rsid w:val="001708A0"/>
    <w:rsid w:val="00192819"/>
    <w:rsid w:val="001A1582"/>
    <w:rsid w:val="001C3D57"/>
    <w:rsid w:val="001C3F37"/>
    <w:rsid w:val="001C7139"/>
    <w:rsid w:val="0020072E"/>
    <w:rsid w:val="002151C0"/>
    <w:rsid w:val="002311B7"/>
    <w:rsid w:val="00232455"/>
    <w:rsid w:val="00286496"/>
    <w:rsid w:val="00303760"/>
    <w:rsid w:val="00327F62"/>
    <w:rsid w:val="003328F9"/>
    <w:rsid w:val="003517AB"/>
    <w:rsid w:val="003B5E7A"/>
    <w:rsid w:val="003C5461"/>
    <w:rsid w:val="0042489C"/>
    <w:rsid w:val="00432368"/>
    <w:rsid w:val="004360FB"/>
    <w:rsid w:val="004724BB"/>
    <w:rsid w:val="00494F86"/>
    <w:rsid w:val="00520398"/>
    <w:rsid w:val="0059167E"/>
    <w:rsid w:val="005B61F2"/>
    <w:rsid w:val="005C6D09"/>
    <w:rsid w:val="005E1F4C"/>
    <w:rsid w:val="006127A6"/>
    <w:rsid w:val="0062435E"/>
    <w:rsid w:val="00624D60"/>
    <w:rsid w:val="00650653"/>
    <w:rsid w:val="007038BE"/>
    <w:rsid w:val="00722A31"/>
    <w:rsid w:val="00724DB6"/>
    <w:rsid w:val="007768E0"/>
    <w:rsid w:val="00795C63"/>
    <w:rsid w:val="008230C1"/>
    <w:rsid w:val="0083399F"/>
    <w:rsid w:val="00847EF0"/>
    <w:rsid w:val="00881FCE"/>
    <w:rsid w:val="008863EC"/>
    <w:rsid w:val="0088686F"/>
    <w:rsid w:val="00893B24"/>
    <w:rsid w:val="008C0C09"/>
    <w:rsid w:val="008C4C4F"/>
    <w:rsid w:val="008F021C"/>
    <w:rsid w:val="0090083E"/>
    <w:rsid w:val="00914A3F"/>
    <w:rsid w:val="009327E7"/>
    <w:rsid w:val="00953FB8"/>
    <w:rsid w:val="009574AE"/>
    <w:rsid w:val="009D250E"/>
    <w:rsid w:val="00A61F2A"/>
    <w:rsid w:val="00AB6561"/>
    <w:rsid w:val="00AE2E06"/>
    <w:rsid w:val="00AF24CB"/>
    <w:rsid w:val="00B11C5F"/>
    <w:rsid w:val="00B47B3F"/>
    <w:rsid w:val="00B53C2C"/>
    <w:rsid w:val="00B679F4"/>
    <w:rsid w:val="00BA0290"/>
    <w:rsid w:val="00BB091E"/>
    <w:rsid w:val="00BB7992"/>
    <w:rsid w:val="00BC0C15"/>
    <w:rsid w:val="00BC47DA"/>
    <w:rsid w:val="00C53B7D"/>
    <w:rsid w:val="00C7468D"/>
    <w:rsid w:val="00C869CF"/>
    <w:rsid w:val="00CF3111"/>
    <w:rsid w:val="00D15BB5"/>
    <w:rsid w:val="00D16327"/>
    <w:rsid w:val="00D24756"/>
    <w:rsid w:val="00D501B4"/>
    <w:rsid w:val="00D608D2"/>
    <w:rsid w:val="00D959BB"/>
    <w:rsid w:val="00E90518"/>
    <w:rsid w:val="00E94EB6"/>
    <w:rsid w:val="00EA1ED8"/>
    <w:rsid w:val="00ED11F4"/>
    <w:rsid w:val="00F342FC"/>
    <w:rsid w:val="00F96F7D"/>
    <w:rsid w:val="00FA112C"/>
    <w:rsid w:val="00FA204F"/>
    <w:rsid w:val="00FA2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3D14B54"/>
  <w15:chartTrackingRefBased/>
  <w15:docId w15:val="{9FA4944F-E4F3-44E1-AFDB-91AA810BA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5">
    <w:name w:val="heading 5"/>
    <w:basedOn w:val="Normal"/>
    <w:next w:val="Normal"/>
    <w:link w:val="Heading5Char"/>
    <w:unhideWhenUsed/>
    <w:qFormat/>
    <w:rsid w:val="005E1F4C"/>
    <w:pPr>
      <w:keepNext/>
      <w:spacing w:after="0" w:line="240" w:lineRule="auto"/>
      <w:jc w:val="center"/>
      <w:outlineLvl w:val="4"/>
    </w:pPr>
    <w:rPr>
      <w:rFonts w:ascii="Footlight MT Light" w:eastAsia="Times New Roman" w:hAnsi="Footlight MT Light" w:cs="Traditional Arabic"/>
      <w:b/>
      <w:bCs/>
      <w:i/>
      <w:iCs/>
      <w:noProof/>
      <w:sz w:val="20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Number">
    <w:name w:val="List Number"/>
    <w:basedOn w:val="Normal"/>
    <w:rsid w:val="005E1F4C"/>
    <w:pPr>
      <w:spacing w:after="240" w:line="240" w:lineRule="auto"/>
      <w:ind w:left="283" w:hanging="283"/>
      <w:jc w:val="lowKashida"/>
    </w:pPr>
    <w:rPr>
      <w:rFonts w:ascii="Garamond" w:eastAsia="Times New Roman" w:hAnsi="Garamond" w:cs="Traditional Arabic"/>
      <w:noProof/>
      <w:szCs w:val="26"/>
    </w:rPr>
  </w:style>
  <w:style w:type="character" w:customStyle="1" w:styleId="Heading5Char">
    <w:name w:val="Heading 5 Char"/>
    <w:basedOn w:val="DefaultParagraphFont"/>
    <w:link w:val="Heading5"/>
    <w:rsid w:val="005E1F4C"/>
    <w:rPr>
      <w:rFonts w:ascii="Footlight MT Light" w:eastAsia="Times New Roman" w:hAnsi="Footlight MT Light" w:cs="Traditional Arabic"/>
      <w:b/>
      <w:bCs/>
      <w:i/>
      <w:iCs/>
      <w:noProof/>
      <w:sz w:val="20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5E1F4C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E1F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1F4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317</Words>
  <Characters>1811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safaa saadoon</dc:creator>
  <cp:keywords/>
  <dc:description/>
  <cp:lastModifiedBy>DAR AL-NASIH</cp:lastModifiedBy>
  <cp:revision>20</cp:revision>
  <dcterms:created xsi:type="dcterms:W3CDTF">2017-11-25T14:51:00Z</dcterms:created>
  <dcterms:modified xsi:type="dcterms:W3CDTF">2017-12-31T19:21:00Z</dcterms:modified>
</cp:coreProperties>
</file>