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05193" w14:textId="0733E3C3" w:rsidR="00964E01" w:rsidRPr="00D744CE" w:rsidRDefault="00B252E4" w:rsidP="00D744CE">
      <w:pPr>
        <w:spacing w:line="240" w:lineRule="auto"/>
        <w:jc w:val="center"/>
        <w:rPr>
          <w:rFonts w:eastAsia="Calibri" w:cs="Times New Roman"/>
          <w:b/>
          <w:bCs/>
          <w:sz w:val="28"/>
          <w:szCs w:val="28"/>
        </w:rPr>
      </w:pPr>
      <w:r w:rsidRPr="00D744CE">
        <w:rPr>
          <w:rFonts w:eastAsia="Calibri" w:cs="Times New Roman"/>
          <w:b/>
          <w:bCs/>
          <w:sz w:val="28"/>
          <w:szCs w:val="28"/>
        </w:rPr>
        <w:t>Assessment of Immunization Session Practices in Primary Healthcare Centers-Wasit Province, Iraq, 2016-17</w:t>
      </w:r>
    </w:p>
    <w:p w14:paraId="62F20C5E" w14:textId="3723DEDD" w:rsidR="00F862E1" w:rsidRPr="00D744CE" w:rsidRDefault="00B252E4" w:rsidP="00285EC3">
      <w:pPr>
        <w:spacing w:line="240" w:lineRule="auto"/>
        <w:jc w:val="center"/>
        <w:rPr>
          <w:rFonts w:eastAsia="Calibri" w:cs="Times New Roman"/>
          <w:b/>
          <w:bCs/>
          <w:sz w:val="24"/>
          <w:szCs w:val="24"/>
        </w:rPr>
      </w:pPr>
      <w:bookmarkStart w:id="0" w:name="_GoBack"/>
      <w:r w:rsidRPr="00D744CE">
        <w:rPr>
          <w:rFonts w:eastAsia="Calibri" w:cs="Times New Roman"/>
          <w:b/>
          <w:bCs/>
          <w:sz w:val="24"/>
          <w:szCs w:val="24"/>
        </w:rPr>
        <w:t xml:space="preserve">Ali </w:t>
      </w:r>
      <w:proofErr w:type="spellStart"/>
      <w:r w:rsidRPr="00D744CE">
        <w:rPr>
          <w:rFonts w:eastAsia="Calibri" w:cs="Times New Roman"/>
          <w:b/>
          <w:bCs/>
          <w:sz w:val="24"/>
          <w:szCs w:val="24"/>
        </w:rPr>
        <w:t>Sadiq</w:t>
      </w:r>
      <w:proofErr w:type="spellEnd"/>
      <w:r w:rsidRPr="00D744CE">
        <w:rPr>
          <w:rFonts w:eastAsia="Calibri" w:cs="Times New Roman"/>
          <w:b/>
          <w:bCs/>
          <w:sz w:val="24"/>
          <w:szCs w:val="24"/>
        </w:rPr>
        <w:t xml:space="preserve"> </w:t>
      </w:r>
      <w:proofErr w:type="spellStart"/>
      <w:r w:rsidRPr="00D744CE">
        <w:rPr>
          <w:rFonts w:eastAsia="Calibri" w:cs="Times New Roman"/>
          <w:b/>
          <w:bCs/>
          <w:sz w:val="24"/>
          <w:szCs w:val="24"/>
        </w:rPr>
        <w:t>Jaafar</w:t>
      </w:r>
      <w:proofErr w:type="spellEnd"/>
      <w:r w:rsidR="00285EC3" w:rsidRPr="00D744CE">
        <w:rPr>
          <w:rFonts w:eastAsia="Calibri" w:cs="Times New Roman"/>
          <w:b/>
          <w:bCs/>
          <w:sz w:val="24"/>
          <w:szCs w:val="24"/>
        </w:rPr>
        <w:t xml:space="preserve">, </w:t>
      </w:r>
      <w:proofErr w:type="spellStart"/>
      <w:r w:rsidRPr="00D744CE">
        <w:rPr>
          <w:rFonts w:eastAsia="Calibri" w:cs="Times New Roman"/>
          <w:b/>
          <w:bCs/>
          <w:sz w:val="24"/>
          <w:szCs w:val="24"/>
        </w:rPr>
        <w:t>Faris</w:t>
      </w:r>
      <w:proofErr w:type="spellEnd"/>
      <w:r w:rsidRPr="00D744CE">
        <w:rPr>
          <w:rFonts w:eastAsia="Calibri" w:cs="Times New Roman"/>
          <w:b/>
          <w:bCs/>
          <w:sz w:val="24"/>
          <w:szCs w:val="24"/>
        </w:rPr>
        <w:t xml:space="preserve"> Lami</w:t>
      </w:r>
    </w:p>
    <w:bookmarkEnd w:id="0"/>
    <w:p w14:paraId="585050B2" w14:textId="1852EA29" w:rsidR="00964E01" w:rsidRPr="00285EC3" w:rsidRDefault="00B252E4" w:rsidP="00327568">
      <w:pPr>
        <w:shd w:val="clear" w:color="auto" w:fill="FFFFFF" w:themeFill="background1"/>
        <w:spacing w:line="360" w:lineRule="auto"/>
        <w:jc w:val="both"/>
        <w:rPr>
          <w:rFonts w:eastAsia="Calibri" w:cs="Times New Roman"/>
          <w:b/>
          <w:bCs/>
          <w:sz w:val="24"/>
          <w:szCs w:val="24"/>
        </w:rPr>
      </w:pPr>
      <w:r w:rsidRPr="00285EC3">
        <w:rPr>
          <w:rFonts w:eastAsia="Calibri" w:cs="Times New Roman"/>
          <w:b/>
          <w:bCs/>
          <w:sz w:val="24"/>
          <w:szCs w:val="24"/>
        </w:rPr>
        <w:t>Background:</w:t>
      </w:r>
      <w:r w:rsidRPr="00285EC3">
        <w:rPr>
          <w:rFonts w:eastAsia="Calibri" w:cs="Times New Roman"/>
          <w:sz w:val="24"/>
          <w:szCs w:val="24"/>
        </w:rPr>
        <w:t xml:space="preserve"> Annually, vaccines prevent more than 2.5 million child deaths globally. </w:t>
      </w:r>
      <w:r w:rsidRPr="00285EC3">
        <w:rPr>
          <w:rFonts w:cstheme="majorBidi"/>
          <w:sz w:val="24"/>
          <w:szCs w:val="24"/>
        </w:rPr>
        <w:t>WHO and UNICEF estimates of immunization coverage in Iraq in 2016 revealed 63% for DTP3 and 66% for MCV1</w:t>
      </w:r>
      <w:r w:rsidRPr="00285EC3">
        <w:rPr>
          <w:rFonts w:eastAsia="Calibri" w:cs="Times New Roman"/>
          <w:sz w:val="24"/>
          <w:szCs w:val="24"/>
        </w:rPr>
        <w:t>. Wasit is among governorates with a large number of under-immunized children, opening the door for many future outbreaks. Immunization session practices (ISPs)</w:t>
      </w:r>
      <w:r w:rsidR="008B4E2F" w:rsidRPr="00285EC3">
        <w:rPr>
          <w:rFonts w:eastAsia="Calibri" w:cs="Times New Roman"/>
          <w:sz w:val="24"/>
          <w:szCs w:val="24"/>
        </w:rPr>
        <w:t>,</w:t>
      </w:r>
      <w:r w:rsidRPr="00285EC3">
        <w:rPr>
          <w:rFonts w:eastAsia="Calibri" w:cs="Times New Roman"/>
          <w:sz w:val="24"/>
          <w:szCs w:val="24"/>
        </w:rPr>
        <w:t xml:space="preserve"> when maintained of high-quality</w:t>
      </w:r>
      <w:r w:rsidR="008B4E2F" w:rsidRPr="00285EC3">
        <w:rPr>
          <w:rFonts w:eastAsia="Calibri" w:cs="Times New Roman"/>
          <w:sz w:val="24"/>
          <w:szCs w:val="24"/>
        </w:rPr>
        <w:t xml:space="preserve">, </w:t>
      </w:r>
      <w:r w:rsidRPr="00285EC3">
        <w:rPr>
          <w:rFonts w:eastAsia="Calibri" w:cs="Times New Roman"/>
          <w:sz w:val="24"/>
          <w:szCs w:val="24"/>
        </w:rPr>
        <w:t xml:space="preserve">can ensure safer and more effective vaccination as well as higher coverage rates. </w:t>
      </w:r>
      <w:r w:rsidRPr="00285EC3">
        <w:rPr>
          <w:rFonts w:eastAsia="Calibri" w:cs="Times New Roman"/>
          <w:b/>
          <w:bCs/>
          <w:sz w:val="24"/>
          <w:szCs w:val="24"/>
        </w:rPr>
        <w:t xml:space="preserve">Objectives: </w:t>
      </w:r>
      <w:r w:rsidRPr="00285EC3">
        <w:rPr>
          <w:rFonts w:eastAsia="Calibri" w:cs="Times New Roman"/>
          <w:sz w:val="24"/>
          <w:szCs w:val="24"/>
        </w:rPr>
        <w:t xml:space="preserve">To assess ISPs in Primary Healthcare Centers (PHCs) in Wasit province. </w:t>
      </w:r>
    </w:p>
    <w:p w14:paraId="7F5DF349" w14:textId="4916AAAA" w:rsidR="00964E01" w:rsidRPr="00285EC3" w:rsidRDefault="00B252E4" w:rsidP="00051B0A">
      <w:pPr>
        <w:spacing w:after="0" w:line="360" w:lineRule="auto"/>
        <w:jc w:val="both"/>
        <w:rPr>
          <w:rFonts w:eastAsia="Calibri" w:cs="Times New Roman"/>
          <w:sz w:val="24"/>
          <w:szCs w:val="24"/>
        </w:rPr>
      </w:pPr>
      <w:r w:rsidRPr="00285EC3">
        <w:rPr>
          <w:rFonts w:eastAsia="Calibri" w:cs="Times New Roman"/>
          <w:b/>
          <w:bCs/>
          <w:sz w:val="24"/>
          <w:szCs w:val="24"/>
        </w:rPr>
        <w:t>Methods:</w:t>
      </w:r>
      <w:r w:rsidRPr="00285EC3">
        <w:rPr>
          <w:rFonts w:eastAsia="Calibri" w:cs="Times New Roman"/>
          <w:sz w:val="24"/>
          <w:szCs w:val="24"/>
        </w:rPr>
        <w:t xml:space="preserve"> We conducted this cross-sectional study on 24(44%) PHCs in Wasit province, selected by simple random sampling. </w:t>
      </w:r>
      <w:r w:rsidRPr="00285EC3">
        <w:rPr>
          <w:rFonts w:cs="Times New Roman"/>
          <w:sz w:val="24"/>
          <w:szCs w:val="24"/>
        </w:rPr>
        <w:t xml:space="preserve">Based on WHO and the national guidelines, checklists were developed to assess 58 ISPs that were grouped into seven domains: vaccine and diluent management, cold chain management, session’s equipment, communication with clients and caregivers, vaccine preparation and administration, card review and registration and waste management. </w:t>
      </w:r>
      <w:r w:rsidRPr="00285EC3">
        <w:rPr>
          <w:rFonts w:eastAsia="Calibri" w:cs="Times New Roman"/>
          <w:sz w:val="24"/>
          <w:szCs w:val="24"/>
        </w:rPr>
        <w:t>The score (out of 100%) was calculated for each domain</w:t>
      </w:r>
      <w:r w:rsidR="0033067F" w:rsidRPr="00285EC3">
        <w:rPr>
          <w:rFonts w:eastAsia="Calibri" w:cs="Times New Roman"/>
          <w:sz w:val="24"/>
          <w:szCs w:val="24"/>
        </w:rPr>
        <w:t xml:space="preserve"> in all selected PHCs</w:t>
      </w:r>
      <w:r w:rsidRPr="00285EC3">
        <w:rPr>
          <w:rFonts w:eastAsia="Calibri" w:cs="Times New Roman"/>
          <w:sz w:val="24"/>
          <w:szCs w:val="24"/>
        </w:rPr>
        <w:t>, then the average for all domains was calculated in each PHC. The assessment was made by direct on-job obs</w:t>
      </w:r>
      <w:r w:rsidR="00051B0A" w:rsidRPr="00285EC3">
        <w:rPr>
          <w:rFonts w:eastAsia="Calibri" w:cs="Times New Roman"/>
          <w:sz w:val="24"/>
          <w:szCs w:val="24"/>
        </w:rPr>
        <w:t>ervation of immunization sessions</w:t>
      </w:r>
      <w:r w:rsidRPr="00285EC3">
        <w:rPr>
          <w:rFonts w:eastAsia="Calibri" w:cs="Times New Roman"/>
          <w:sz w:val="24"/>
          <w:szCs w:val="24"/>
        </w:rPr>
        <w:t xml:space="preserve">, through a single visit conducted to each PHC. </w:t>
      </w:r>
    </w:p>
    <w:p w14:paraId="2C185533" w14:textId="054B3080" w:rsidR="00964E01" w:rsidRPr="00285EC3" w:rsidRDefault="00B252E4" w:rsidP="00CD0DF0">
      <w:pPr>
        <w:spacing w:after="0" w:line="360" w:lineRule="auto"/>
        <w:jc w:val="both"/>
        <w:rPr>
          <w:rFonts w:eastAsia="Calibri" w:cs="Times New Roman"/>
          <w:b/>
          <w:bCs/>
          <w:sz w:val="24"/>
          <w:szCs w:val="24"/>
        </w:rPr>
      </w:pPr>
      <w:r w:rsidRPr="00285EC3">
        <w:rPr>
          <w:rFonts w:eastAsia="Calibri" w:cs="Times New Roman"/>
          <w:b/>
          <w:bCs/>
          <w:sz w:val="24"/>
          <w:szCs w:val="24"/>
        </w:rPr>
        <w:t>Results:</w:t>
      </w:r>
      <w:r w:rsidRPr="00285EC3">
        <w:rPr>
          <w:rFonts w:cs="Times New Roman"/>
          <w:sz w:val="24"/>
          <w:szCs w:val="24"/>
        </w:rPr>
        <w:t xml:space="preserve"> </w:t>
      </w:r>
      <w:r w:rsidR="00CD0DF0" w:rsidRPr="00285EC3">
        <w:rPr>
          <w:rFonts w:cs="Times New Roman"/>
          <w:sz w:val="24"/>
          <w:szCs w:val="24"/>
        </w:rPr>
        <w:t>The range of PHCs' ISPs score was</w:t>
      </w:r>
      <w:r w:rsidRPr="00285EC3">
        <w:rPr>
          <w:rFonts w:cs="Times New Roman"/>
          <w:sz w:val="24"/>
          <w:szCs w:val="24"/>
        </w:rPr>
        <w:t>: 52-78%; with a mean of 67% (± 8%). The highest scores were for the following domains:  session’s equipment (88%), waste management (82%) and card review and registration (81%). The least achieving domains were: communication with clients and caregivers (36%) and cold chain management (38%). Vaccine preparation and administration was scoring 69%, whereas the score for vaccine and diluent management was only 50%</w:t>
      </w:r>
      <w:r w:rsidRPr="00285EC3">
        <w:rPr>
          <w:rFonts w:eastAsia="Times New Roman" w:cs="Times New Roman"/>
          <w:color w:val="000000"/>
          <w:sz w:val="24"/>
          <w:szCs w:val="24"/>
        </w:rPr>
        <w:t>.</w:t>
      </w:r>
    </w:p>
    <w:p w14:paraId="3C893E06" w14:textId="13D1F206" w:rsidR="00964E01" w:rsidRPr="00285EC3" w:rsidRDefault="00B252E4" w:rsidP="00D96326">
      <w:pPr>
        <w:spacing w:line="360" w:lineRule="auto"/>
        <w:jc w:val="both"/>
        <w:rPr>
          <w:sz w:val="24"/>
          <w:szCs w:val="24"/>
        </w:rPr>
      </w:pPr>
      <w:r w:rsidRPr="00285EC3">
        <w:rPr>
          <w:rFonts w:eastAsia="Calibri" w:cs="Times New Roman"/>
          <w:b/>
          <w:bCs/>
          <w:sz w:val="24"/>
          <w:szCs w:val="24"/>
        </w:rPr>
        <w:t>Conclusion</w:t>
      </w:r>
      <w:r w:rsidRPr="00285EC3">
        <w:rPr>
          <w:rFonts w:eastAsia="Calibri" w:cs="Times New Roman"/>
          <w:sz w:val="24"/>
          <w:szCs w:val="24"/>
        </w:rPr>
        <w:t>: ISPs pract</w:t>
      </w:r>
      <w:r w:rsidR="00051B0A" w:rsidRPr="00285EC3">
        <w:rPr>
          <w:rFonts w:eastAsia="Calibri" w:cs="Times New Roman"/>
          <w:sz w:val="24"/>
          <w:szCs w:val="24"/>
        </w:rPr>
        <w:t>iced in PHCs in Wasit province we</w:t>
      </w:r>
      <w:r w:rsidRPr="00285EC3">
        <w:rPr>
          <w:rFonts w:eastAsia="Calibri" w:cs="Times New Roman"/>
          <w:sz w:val="24"/>
          <w:szCs w:val="24"/>
        </w:rPr>
        <w:t>re far from the standard. National Expanded Program on Immunization should work on raising the capacity of vaccinators, particularly their communication skills with the clients and caregivers and the management of vaccines and cold chain</w:t>
      </w:r>
      <w:r w:rsidRPr="00285EC3">
        <w:rPr>
          <w:sz w:val="24"/>
          <w:szCs w:val="24"/>
        </w:rPr>
        <w:t xml:space="preserve">. </w:t>
      </w:r>
    </w:p>
    <w:p w14:paraId="421E8000" w14:textId="76C5E819" w:rsidR="00B62686" w:rsidRPr="00285EC3" w:rsidRDefault="00B252E4" w:rsidP="00285EC3">
      <w:pPr>
        <w:spacing w:line="360" w:lineRule="auto"/>
        <w:jc w:val="both"/>
        <w:rPr>
          <w:rFonts w:cstheme="majorBidi"/>
          <w:sz w:val="24"/>
          <w:szCs w:val="24"/>
        </w:rPr>
      </w:pPr>
      <w:r w:rsidRPr="00285EC3">
        <w:rPr>
          <w:rFonts w:cstheme="majorBidi"/>
          <w:b/>
          <w:bCs/>
          <w:sz w:val="24"/>
          <w:szCs w:val="24"/>
        </w:rPr>
        <w:t>Key Words:</w:t>
      </w:r>
      <w:r w:rsidRPr="00285EC3">
        <w:rPr>
          <w:rFonts w:cstheme="majorBidi"/>
          <w:sz w:val="24"/>
          <w:szCs w:val="24"/>
        </w:rPr>
        <w:t xml:space="preserve"> Immunization, Primary Healthcare, Practices, Iraq</w:t>
      </w:r>
    </w:p>
    <w:sectPr w:rsidR="00B62686" w:rsidRPr="00285E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charset w:val="00"/>
    <w:family w:val="swiss"/>
    <w:pitch w:val="variable"/>
    <w:sig w:usb0="E10022FF" w:usb1="C000E47F" w:usb2="00000029" w:usb3="00000000" w:csb0="000001D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E2F"/>
    <w:rsid w:val="00051B0A"/>
    <w:rsid w:val="00285EC3"/>
    <w:rsid w:val="0033067F"/>
    <w:rsid w:val="00456AD3"/>
    <w:rsid w:val="008B4E2F"/>
    <w:rsid w:val="00B252E4"/>
    <w:rsid w:val="00CD0DF0"/>
    <w:rsid w:val="00D744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A6255"/>
  <w15:chartTrackingRefBased/>
  <w15:docId w15:val="{FC3B3781-C104-4D28-A5C7-8DF5B24B2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9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D78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78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2928</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Amily</dc:creator>
  <cp:lastModifiedBy>DAR AL-NASIH</cp:lastModifiedBy>
  <cp:revision>24</cp:revision>
  <dcterms:created xsi:type="dcterms:W3CDTF">2017-11-14T03:35:00Z</dcterms:created>
  <dcterms:modified xsi:type="dcterms:W3CDTF">2017-12-31T19:12:00Z</dcterms:modified>
</cp:coreProperties>
</file>