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7C24" w:rsidRPr="00BE4F88" w:rsidRDefault="007F7C24" w:rsidP="005F09DA">
      <w:pPr>
        <w:jc w:val="center"/>
        <w:rPr>
          <w:rFonts w:cstheme="minorHAnsi"/>
          <w:b/>
          <w:bCs/>
          <w:sz w:val="28"/>
          <w:szCs w:val="28"/>
        </w:rPr>
      </w:pPr>
      <w:r w:rsidRPr="00BE4F88">
        <w:rPr>
          <w:rFonts w:cstheme="minorHAnsi"/>
          <w:b/>
          <w:bCs/>
          <w:sz w:val="28"/>
          <w:szCs w:val="28"/>
        </w:rPr>
        <w:t xml:space="preserve">Epidemiological Characteristic of Fatal Domestic Injuries, </w:t>
      </w:r>
      <w:r w:rsidRPr="00BE4F88">
        <w:rPr>
          <w:rFonts w:cstheme="minorHAnsi"/>
          <w:b/>
          <w:bCs/>
          <w:sz w:val="28"/>
          <w:szCs w:val="28"/>
          <w:lang w:bidi="ar-IQ"/>
        </w:rPr>
        <w:t xml:space="preserve">South provinces </w:t>
      </w:r>
      <w:r w:rsidRPr="00BE4F88">
        <w:rPr>
          <w:rFonts w:cstheme="minorHAnsi"/>
          <w:b/>
          <w:bCs/>
          <w:sz w:val="28"/>
          <w:szCs w:val="28"/>
        </w:rPr>
        <w:t xml:space="preserve">(Basra, </w:t>
      </w:r>
      <w:proofErr w:type="spellStart"/>
      <w:r w:rsidRPr="00BE4F88">
        <w:rPr>
          <w:rFonts w:cstheme="minorHAnsi"/>
          <w:b/>
          <w:bCs/>
          <w:sz w:val="28"/>
          <w:szCs w:val="28"/>
        </w:rPr>
        <w:t>Misan</w:t>
      </w:r>
      <w:proofErr w:type="spellEnd"/>
      <w:r w:rsidRPr="00BE4F88">
        <w:rPr>
          <w:rFonts w:cstheme="minorHAnsi"/>
          <w:b/>
          <w:bCs/>
          <w:sz w:val="28"/>
          <w:szCs w:val="28"/>
        </w:rPr>
        <w:t xml:space="preserve">, </w:t>
      </w:r>
      <w:proofErr w:type="spellStart"/>
      <w:r w:rsidRPr="00BE4F88">
        <w:rPr>
          <w:rFonts w:cstheme="minorHAnsi"/>
          <w:b/>
          <w:bCs/>
          <w:sz w:val="28"/>
          <w:szCs w:val="28"/>
        </w:rPr>
        <w:t>Muthana</w:t>
      </w:r>
      <w:proofErr w:type="spellEnd"/>
      <w:r w:rsidRPr="00BE4F88">
        <w:rPr>
          <w:rFonts w:cstheme="minorHAnsi"/>
          <w:b/>
          <w:bCs/>
          <w:sz w:val="28"/>
          <w:szCs w:val="28"/>
        </w:rPr>
        <w:t xml:space="preserve">, </w:t>
      </w:r>
      <w:proofErr w:type="spellStart"/>
      <w:r w:rsidRPr="00BE4F88">
        <w:rPr>
          <w:rFonts w:cstheme="minorHAnsi"/>
          <w:b/>
          <w:bCs/>
          <w:sz w:val="28"/>
          <w:szCs w:val="28"/>
        </w:rPr>
        <w:t>Thiqar</w:t>
      </w:r>
      <w:proofErr w:type="spellEnd"/>
      <w:r w:rsidRPr="00BE4F88">
        <w:rPr>
          <w:rFonts w:cstheme="minorHAnsi"/>
          <w:b/>
          <w:bCs/>
          <w:sz w:val="28"/>
          <w:szCs w:val="28"/>
        </w:rPr>
        <w:t>), Iraq, 2010-2015</w:t>
      </w:r>
    </w:p>
    <w:p w:rsidR="005F09DA" w:rsidRPr="005F09DA" w:rsidRDefault="005F09DA" w:rsidP="005F09DA">
      <w:pPr>
        <w:jc w:val="center"/>
        <w:rPr>
          <w:rFonts w:cstheme="minorHAnsi"/>
          <w:b/>
          <w:bCs/>
          <w:sz w:val="24"/>
          <w:szCs w:val="24"/>
        </w:rPr>
      </w:pPr>
      <w:proofErr w:type="spellStart"/>
      <w:r>
        <w:rPr>
          <w:rFonts w:cstheme="minorHAnsi"/>
          <w:b/>
          <w:bCs/>
          <w:sz w:val="24"/>
          <w:szCs w:val="24"/>
        </w:rPr>
        <w:t>Khitam</w:t>
      </w:r>
      <w:proofErr w:type="spellEnd"/>
      <w:r>
        <w:rPr>
          <w:rFonts w:cstheme="minorHAnsi"/>
          <w:b/>
          <w:bCs/>
          <w:sz w:val="24"/>
          <w:szCs w:val="24"/>
        </w:rPr>
        <w:t xml:space="preserve"> Ali, </w:t>
      </w:r>
      <w:proofErr w:type="spellStart"/>
      <w:r>
        <w:rPr>
          <w:rFonts w:cstheme="minorHAnsi"/>
          <w:b/>
          <w:bCs/>
          <w:sz w:val="24"/>
          <w:szCs w:val="24"/>
        </w:rPr>
        <w:t>Faris</w:t>
      </w:r>
      <w:proofErr w:type="spellEnd"/>
      <w:r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>
        <w:rPr>
          <w:rFonts w:cstheme="minorHAnsi"/>
          <w:b/>
          <w:bCs/>
          <w:sz w:val="24"/>
          <w:szCs w:val="24"/>
        </w:rPr>
        <w:t>Lami</w:t>
      </w:r>
      <w:proofErr w:type="spellEnd"/>
    </w:p>
    <w:p w:rsidR="007F7C24" w:rsidRPr="005F09DA" w:rsidRDefault="007F7C24" w:rsidP="005F09DA">
      <w:pPr>
        <w:jc w:val="both"/>
        <w:rPr>
          <w:rFonts w:cstheme="minorHAnsi"/>
          <w:sz w:val="24"/>
          <w:szCs w:val="24"/>
          <w:rtl/>
        </w:rPr>
      </w:pPr>
      <w:r w:rsidRPr="005F09DA">
        <w:rPr>
          <w:rFonts w:cstheme="minorHAnsi"/>
          <w:b/>
          <w:sz w:val="24"/>
          <w:szCs w:val="24"/>
        </w:rPr>
        <w:t>Background:</w:t>
      </w:r>
      <w:r w:rsidRPr="005F09DA">
        <w:rPr>
          <w:rFonts w:cstheme="minorHAnsi"/>
          <w:sz w:val="24"/>
          <w:szCs w:val="24"/>
        </w:rPr>
        <w:t xml:space="preserve"> </w:t>
      </w:r>
      <w:r w:rsidRPr="005F09DA">
        <w:rPr>
          <w:rFonts w:cstheme="minorHAnsi"/>
          <w:sz w:val="24"/>
          <w:szCs w:val="24"/>
          <w:shd w:val="clear" w:color="auto" w:fill="FFFFFF"/>
        </w:rPr>
        <w:t>Fatal injuries within the home are a leading cause of death </w:t>
      </w:r>
      <w:r w:rsidRPr="005F09DA">
        <w:rPr>
          <w:rFonts w:cstheme="minorHAnsi"/>
          <w:sz w:val="24"/>
          <w:szCs w:val="24"/>
        </w:rPr>
        <w:t>and permanent disability worldwide</w:t>
      </w:r>
      <w:r w:rsidRPr="005F09DA">
        <w:rPr>
          <w:rFonts w:cstheme="minorHAnsi"/>
          <w:color w:val="FF0000"/>
          <w:sz w:val="24"/>
          <w:szCs w:val="24"/>
        </w:rPr>
        <w:t xml:space="preserve"> </w:t>
      </w:r>
      <w:r w:rsidRPr="005F09DA">
        <w:rPr>
          <w:rFonts w:cstheme="minorHAnsi"/>
          <w:sz w:val="24"/>
          <w:szCs w:val="24"/>
        </w:rPr>
        <w:t xml:space="preserve">and are globally recognized as a </w:t>
      </w:r>
      <w:r w:rsidRPr="005F09DA">
        <w:rPr>
          <w:rFonts w:cstheme="minorHAnsi"/>
          <w:sz w:val="24"/>
          <w:szCs w:val="24"/>
          <w:shd w:val="clear" w:color="auto" w:fill="FFFFFF"/>
        </w:rPr>
        <w:t xml:space="preserve">public health priority. </w:t>
      </w:r>
      <w:r w:rsidRPr="005F09DA">
        <w:rPr>
          <w:rFonts w:cstheme="minorHAnsi"/>
          <w:sz w:val="24"/>
          <w:szCs w:val="24"/>
          <w:lang w:bidi="ar-IQ"/>
        </w:rPr>
        <w:t xml:space="preserve"> About 16,000 people die from injuries every day worldwide</w:t>
      </w:r>
      <w:r w:rsidRPr="005F09DA">
        <w:rPr>
          <w:rFonts w:cstheme="minorHAnsi"/>
          <w:sz w:val="24"/>
          <w:szCs w:val="24"/>
          <w:shd w:val="clear" w:color="auto" w:fill="FFFFFF" w:themeFill="background1"/>
        </w:rPr>
        <w:t>.</w:t>
      </w:r>
      <w:r w:rsidRPr="005F09DA">
        <w:rPr>
          <w:rFonts w:cstheme="minorHAnsi"/>
          <w:color w:val="FF0000"/>
          <w:sz w:val="24"/>
          <w:szCs w:val="24"/>
        </w:rPr>
        <w:t xml:space="preserve"> </w:t>
      </w:r>
      <w:r w:rsidRPr="005F09DA">
        <w:rPr>
          <w:rFonts w:cstheme="minorHAnsi"/>
          <w:sz w:val="24"/>
          <w:szCs w:val="24"/>
          <w:shd w:val="clear" w:color="auto" w:fill="FFFFFF"/>
        </w:rPr>
        <w:t>One third of all injuries happen within home and it is environment</w:t>
      </w:r>
      <w:r w:rsidRPr="005F09DA">
        <w:rPr>
          <w:rFonts w:cstheme="minorHAnsi"/>
          <w:sz w:val="24"/>
          <w:szCs w:val="24"/>
          <w:shd w:val="clear" w:color="auto" w:fill="FFFFFF" w:themeFill="background1"/>
        </w:rPr>
        <w:t>.</w:t>
      </w:r>
      <w:r w:rsidRPr="005F09DA">
        <w:rPr>
          <w:rFonts w:cstheme="minorHAnsi"/>
          <w:color w:val="FF0000"/>
          <w:sz w:val="24"/>
          <w:szCs w:val="24"/>
          <w:shd w:val="clear" w:color="auto" w:fill="FFFFFF" w:themeFill="background1"/>
        </w:rPr>
        <w:t xml:space="preserve"> </w:t>
      </w:r>
      <w:r w:rsidRPr="005F09DA">
        <w:rPr>
          <w:rFonts w:cstheme="minorHAnsi"/>
          <w:sz w:val="24"/>
          <w:szCs w:val="24"/>
          <w:lang w:bidi="ar-IQ"/>
        </w:rPr>
        <w:t>This study is conducted to describe the epidemiological characteristics of</w:t>
      </w:r>
      <w:r w:rsidRPr="005F09DA">
        <w:rPr>
          <w:rFonts w:eastAsia="Calibri" w:cstheme="minorHAnsi"/>
          <w:kern w:val="24"/>
          <w:sz w:val="24"/>
          <w:szCs w:val="24"/>
        </w:rPr>
        <w:t xml:space="preserve"> fatal Domestic </w:t>
      </w:r>
      <w:r w:rsidRPr="005F09DA">
        <w:rPr>
          <w:rFonts w:cstheme="minorHAnsi"/>
          <w:sz w:val="24"/>
          <w:szCs w:val="24"/>
          <w:lang w:bidi="ar-IQ"/>
        </w:rPr>
        <w:t xml:space="preserve">injuries (FDI), identify the mechanism and estimate the incidence, South provinces </w:t>
      </w:r>
      <w:r w:rsidRPr="005F09DA">
        <w:rPr>
          <w:rFonts w:cstheme="minorHAnsi"/>
          <w:sz w:val="24"/>
          <w:szCs w:val="24"/>
        </w:rPr>
        <w:t xml:space="preserve">(Basra, Misan, Muthana, Thiqar), </w:t>
      </w:r>
      <w:r w:rsidRPr="005F09DA">
        <w:rPr>
          <w:rFonts w:cstheme="minorHAnsi"/>
          <w:sz w:val="24"/>
          <w:szCs w:val="24"/>
          <w:lang w:bidi="ar-IQ"/>
        </w:rPr>
        <w:t>Iraq, 2010-2015.</w:t>
      </w:r>
    </w:p>
    <w:p w:rsidR="007F7C24" w:rsidRPr="005F09DA" w:rsidRDefault="007F7C24" w:rsidP="005F09DA">
      <w:pPr>
        <w:spacing w:after="0"/>
        <w:jc w:val="both"/>
        <w:rPr>
          <w:rFonts w:cstheme="minorHAnsi"/>
          <w:b/>
          <w:bCs/>
          <w:sz w:val="24"/>
          <w:szCs w:val="24"/>
        </w:rPr>
      </w:pPr>
      <w:r w:rsidRPr="005F09DA">
        <w:rPr>
          <w:rFonts w:cstheme="minorHAnsi"/>
          <w:b/>
          <w:bCs/>
          <w:sz w:val="24"/>
          <w:szCs w:val="24"/>
          <w:lang w:bidi="ar-IQ"/>
        </w:rPr>
        <w:t>Methods:</w:t>
      </w:r>
      <w:r w:rsidRPr="005F09DA">
        <w:rPr>
          <w:rFonts w:cstheme="minorHAnsi"/>
          <w:sz w:val="24"/>
          <w:szCs w:val="24"/>
          <w:lang w:bidi="ar-IQ"/>
        </w:rPr>
        <w:t xml:space="preserve"> A cross sectional study was conducted on </w:t>
      </w:r>
      <w:r w:rsidRPr="005F09DA">
        <w:rPr>
          <w:rFonts w:cstheme="minorHAnsi"/>
          <w:sz w:val="24"/>
          <w:szCs w:val="24"/>
        </w:rPr>
        <w:t xml:space="preserve">all fatalities reported from the coroner offices in four south provinces for the period of 2010-2015 as part of Iraqi Injury Surveillance System. The surveillance form included detailed data on the demographics, injury circumstances and injury mechanisms.  </w:t>
      </w:r>
      <w:r w:rsidRPr="005F09DA">
        <w:rPr>
          <w:rFonts w:cstheme="minorHAnsi"/>
          <w:sz w:val="24"/>
          <w:szCs w:val="24"/>
          <w:lang w:bidi="ar-IQ"/>
        </w:rPr>
        <w:t xml:space="preserve">Populations' data were obtained from Ministry of Planning. </w:t>
      </w:r>
      <w:r w:rsidRPr="005F09DA">
        <w:rPr>
          <w:rFonts w:cstheme="minorHAnsi"/>
          <w:b/>
          <w:bCs/>
          <w:sz w:val="24"/>
          <w:szCs w:val="24"/>
        </w:rPr>
        <w:tab/>
      </w:r>
    </w:p>
    <w:p w:rsidR="007F7C24" w:rsidRPr="005F09DA" w:rsidRDefault="007F7C24" w:rsidP="005F09DA">
      <w:pPr>
        <w:spacing w:after="0"/>
        <w:jc w:val="both"/>
        <w:rPr>
          <w:rFonts w:cstheme="minorHAnsi"/>
          <w:sz w:val="24"/>
          <w:szCs w:val="24"/>
          <w:lang w:bidi="ar-IQ"/>
        </w:rPr>
      </w:pPr>
      <w:r w:rsidRPr="005F09DA">
        <w:rPr>
          <w:rFonts w:cstheme="minorHAnsi"/>
          <w:b/>
          <w:bCs/>
          <w:sz w:val="24"/>
          <w:szCs w:val="24"/>
        </w:rPr>
        <w:t>Results:</w:t>
      </w:r>
      <w:r w:rsidRPr="005F09DA">
        <w:rPr>
          <w:rFonts w:cstheme="minorHAnsi"/>
          <w:sz w:val="24"/>
          <w:szCs w:val="24"/>
        </w:rPr>
        <w:t xml:space="preserve"> The number of FDI during this period was 3,920 with an average annual incidence of 13.2/100,000P. FDI represented 22.7% of total FDI.  The incidence of FDI decreased from 16.7/100,000P in 2010 to 12.6/100,000P in 2015. The female to male ratio was 1.1:1 and 44.4% occurred at the age group 10-29 years. The highest incidence 32.1/100,000P was recorded at the age group 30-49 years.  About </w:t>
      </w:r>
      <w:r w:rsidRPr="005F09DA">
        <w:rPr>
          <w:rFonts w:cstheme="minorHAnsi"/>
          <w:sz w:val="24"/>
          <w:szCs w:val="24"/>
          <w:lang w:bidi="ar-IQ"/>
        </w:rPr>
        <w:t xml:space="preserve">57.7% were unintentional </w:t>
      </w:r>
      <w:r w:rsidRPr="005F09DA">
        <w:rPr>
          <w:rFonts w:cstheme="minorHAnsi"/>
          <w:sz w:val="24"/>
          <w:szCs w:val="24"/>
        </w:rPr>
        <w:t>with average annual incidence 7.5/100,000P</w:t>
      </w:r>
      <w:r w:rsidRPr="005F09DA">
        <w:rPr>
          <w:rFonts w:cstheme="minorHAnsi"/>
          <w:sz w:val="24"/>
          <w:szCs w:val="24"/>
          <w:lang w:bidi="ar-IQ"/>
        </w:rPr>
        <w:t xml:space="preserve"> and 52.9% occurred during 7am-2pm</w:t>
      </w:r>
      <w:r w:rsidRPr="005F09DA">
        <w:rPr>
          <w:rFonts w:cstheme="minorHAnsi"/>
          <w:sz w:val="24"/>
          <w:szCs w:val="24"/>
        </w:rPr>
        <w:t>.</w:t>
      </w:r>
      <w:r w:rsidRPr="005F09DA">
        <w:rPr>
          <w:rFonts w:cstheme="minorHAnsi"/>
          <w:sz w:val="24"/>
          <w:szCs w:val="24"/>
          <w:lang w:bidi="ar-IQ"/>
        </w:rPr>
        <w:t xml:space="preserve"> The main causes of FDI were: Burn (30.9%), electric injury (19.8%), gun fire (10.5%), and fall (4.3%) with average annual incidence 3.9, 2.2, 1.3, 0.4/100,000P respectively. The highest average annual incidence was reported in Misan (19.4/100,000P) governorate, while the lowest was in Basra (11/100,000P). About 89.5% arrived by othe</w:t>
      </w:r>
      <w:bookmarkStart w:id="0" w:name="_GoBack"/>
      <w:bookmarkEnd w:id="0"/>
      <w:r w:rsidRPr="005F09DA">
        <w:rPr>
          <w:rFonts w:cstheme="minorHAnsi"/>
          <w:sz w:val="24"/>
          <w:szCs w:val="24"/>
          <w:lang w:bidi="ar-IQ"/>
        </w:rPr>
        <w:t>r vehicle rather than ambulance and 62.4% reached within 24 hours.</w:t>
      </w:r>
    </w:p>
    <w:p w:rsidR="007F7C24" w:rsidRPr="005F09DA" w:rsidRDefault="007F7C24" w:rsidP="005F09DA">
      <w:pPr>
        <w:jc w:val="both"/>
        <w:rPr>
          <w:rFonts w:cstheme="minorHAnsi"/>
          <w:sz w:val="24"/>
          <w:szCs w:val="24"/>
          <w:shd w:val="clear" w:color="auto" w:fill="FFFFFF"/>
        </w:rPr>
      </w:pPr>
      <w:r w:rsidRPr="005F09DA">
        <w:rPr>
          <w:rFonts w:cstheme="minorHAnsi"/>
          <w:b/>
          <w:bCs/>
          <w:sz w:val="24"/>
          <w:szCs w:val="24"/>
        </w:rPr>
        <w:t>Conclusions</w:t>
      </w:r>
      <w:r w:rsidRPr="005F09DA">
        <w:rPr>
          <w:rFonts w:cstheme="minorHAnsi"/>
          <w:sz w:val="24"/>
          <w:szCs w:val="24"/>
        </w:rPr>
        <w:t xml:space="preserve">: </w:t>
      </w:r>
      <w:r w:rsidRPr="005F09DA">
        <w:rPr>
          <w:rFonts w:cstheme="minorHAnsi"/>
          <w:sz w:val="24"/>
          <w:szCs w:val="24"/>
          <w:shd w:val="clear" w:color="auto" w:fill="FFFFFF"/>
        </w:rPr>
        <w:t xml:space="preserve">Injuries should receive similar importance as communicable and non-communicable diseases. A multi-disciplinary prevention programs for FDI should be established in order to prevent and control   injuries particularly and Creating safer and supervised home environments.   </w:t>
      </w:r>
    </w:p>
    <w:p w:rsidR="007F7C24" w:rsidRPr="005F09DA" w:rsidRDefault="007F7C24" w:rsidP="005F09DA">
      <w:pPr>
        <w:jc w:val="both"/>
        <w:rPr>
          <w:rFonts w:cstheme="minorHAnsi"/>
          <w:sz w:val="24"/>
          <w:szCs w:val="24"/>
          <w:lang w:bidi="ar-IQ"/>
        </w:rPr>
      </w:pPr>
      <w:r w:rsidRPr="005F09DA">
        <w:rPr>
          <w:rFonts w:cstheme="minorHAnsi"/>
          <w:b/>
          <w:bCs/>
          <w:sz w:val="24"/>
          <w:szCs w:val="24"/>
          <w:lang w:bidi="ar-IQ"/>
        </w:rPr>
        <w:t>Keywords</w:t>
      </w:r>
      <w:r w:rsidRPr="005F09DA">
        <w:rPr>
          <w:rFonts w:cstheme="minorHAnsi"/>
          <w:sz w:val="24"/>
          <w:szCs w:val="24"/>
          <w:lang w:bidi="ar-IQ"/>
        </w:rPr>
        <w:t>: Fatal, Injury, Epidemiology, Domestic, Iraq south provinces.</w:t>
      </w:r>
    </w:p>
    <w:p w:rsidR="006A7D5F" w:rsidRPr="005F09DA" w:rsidRDefault="006A7D5F" w:rsidP="005F09DA">
      <w:pPr>
        <w:spacing w:after="0"/>
        <w:rPr>
          <w:rFonts w:cstheme="minorHAnsi"/>
          <w:sz w:val="20"/>
          <w:szCs w:val="20"/>
        </w:rPr>
      </w:pPr>
    </w:p>
    <w:sectPr w:rsidR="006A7D5F" w:rsidRPr="005F09DA" w:rsidSect="009424B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Cambria"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E768C1"/>
    <w:multiLevelType w:val="hybridMultilevel"/>
    <w:tmpl w:val="EE889FEE"/>
    <w:lvl w:ilvl="0" w:tplc="F9F240C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1DB2826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B8A1E18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804C98C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8DEC294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002BC2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E222A0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888882C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F6CDAEC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4E66A5"/>
    <w:multiLevelType w:val="hybridMultilevel"/>
    <w:tmpl w:val="2C729FD0"/>
    <w:lvl w:ilvl="0" w:tplc="63CCF83E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D325A5A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E70AB64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1CA3200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B3C5DF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CE055F8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14EBE1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BB606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8745A5E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5837D3"/>
    <w:multiLevelType w:val="hybridMultilevel"/>
    <w:tmpl w:val="BE16EC58"/>
    <w:lvl w:ilvl="0" w:tplc="7BC80D8A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248CD8" w:tentative="1">
      <w:start w:val="1"/>
      <w:numFmt w:val="bullet"/>
      <w:lvlText w:val="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6B82A12" w:tentative="1">
      <w:start w:val="1"/>
      <w:numFmt w:val="bullet"/>
      <w:lvlText w:val="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F0AB796" w:tentative="1">
      <w:start w:val="1"/>
      <w:numFmt w:val="bullet"/>
      <w:lvlText w:val="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029916" w:tentative="1">
      <w:start w:val="1"/>
      <w:numFmt w:val="bullet"/>
      <w:lvlText w:val="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66ADF4A" w:tentative="1">
      <w:start w:val="1"/>
      <w:numFmt w:val="bullet"/>
      <w:lvlText w:val="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BA8E9188" w:tentative="1">
      <w:start w:val="1"/>
      <w:numFmt w:val="bullet"/>
      <w:lvlText w:val="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88F2FC" w:tentative="1">
      <w:start w:val="1"/>
      <w:numFmt w:val="bullet"/>
      <w:lvlText w:val="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694B154" w:tentative="1">
      <w:start w:val="1"/>
      <w:numFmt w:val="bullet"/>
      <w:lvlText w:val="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7448A3"/>
    <w:rsid w:val="00012656"/>
    <w:rsid w:val="000223D0"/>
    <w:rsid w:val="00040C6F"/>
    <w:rsid w:val="000439E2"/>
    <w:rsid w:val="00061E94"/>
    <w:rsid w:val="000664D2"/>
    <w:rsid w:val="000A27DA"/>
    <w:rsid w:val="000A2940"/>
    <w:rsid w:val="000C69FD"/>
    <w:rsid w:val="000F4A00"/>
    <w:rsid w:val="00105081"/>
    <w:rsid w:val="00117FF3"/>
    <w:rsid w:val="00133E68"/>
    <w:rsid w:val="0015220E"/>
    <w:rsid w:val="001664C4"/>
    <w:rsid w:val="00166F86"/>
    <w:rsid w:val="00167FA0"/>
    <w:rsid w:val="001769EC"/>
    <w:rsid w:val="00195C36"/>
    <w:rsid w:val="001B2176"/>
    <w:rsid w:val="001B2D3D"/>
    <w:rsid w:val="001D65FD"/>
    <w:rsid w:val="001D790F"/>
    <w:rsid w:val="001E253D"/>
    <w:rsid w:val="00247B1D"/>
    <w:rsid w:val="00255FF2"/>
    <w:rsid w:val="00256B4F"/>
    <w:rsid w:val="00263240"/>
    <w:rsid w:val="002720FE"/>
    <w:rsid w:val="0027545F"/>
    <w:rsid w:val="00285049"/>
    <w:rsid w:val="002907AD"/>
    <w:rsid w:val="002A42DC"/>
    <w:rsid w:val="002A64F5"/>
    <w:rsid w:val="002C7C32"/>
    <w:rsid w:val="002D3734"/>
    <w:rsid w:val="002E04B9"/>
    <w:rsid w:val="002E1DAE"/>
    <w:rsid w:val="002E61EC"/>
    <w:rsid w:val="002E6D61"/>
    <w:rsid w:val="002F12F0"/>
    <w:rsid w:val="002F731A"/>
    <w:rsid w:val="00325F65"/>
    <w:rsid w:val="00347E5A"/>
    <w:rsid w:val="00351617"/>
    <w:rsid w:val="003516A0"/>
    <w:rsid w:val="00351CD4"/>
    <w:rsid w:val="003525C7"/>
    <w:rsid w:val="003664C2"/>
    <w:rsid w:val="00370F25"/>
    <w:rsid w:val="00380D63"/>
    <w:rsid w:val="00382689"/>
    <w:rsid w:val="00383EA7"/>
    <w:rsid w:val="00384E04"/>
    <w:rsid w:val="00395F06"/>
    <w:rsid w:val="003E1229"/>
    <w:rsid w:val="003E72BB"/>
    <w:rsid w:val="003F5CF7"/>
    <w:rsid w:val="00403827"/>
    <w:rsid w:val="00405F97"/>
    <w:rsid w:val="00416C26"/>
    <w:rsid w:val="00441F85"/>
    <w:rsid w:val="00447F92"/>
    <w:rsid w:val="0045108B"/>
    <w:rsid w:val="00461114"/>
    <w:rsid w:val="004779DF"/>
    <w:rsid w:val="004B067E"/>
    <w:rsid w:val="004B110E"/>
    <w:rsid w:val="004D2C1E"/>
    <w:rsid w:val="004E0A43"/>
    <w:rsid w:val="004E15F5"/>
    <w:rsid w:val="004E41CC"/>
    <w:rsid w:val="0050389A"/>
    <w:rsid w:val="00505A69"/>
    <w:rsid w:val="005064C6"/>
    <w:rsid w:val="00507DE0"/>
    <w:rsid w:val="00513D1E"/>
    <w:rsid w:val="005167C5"/>
    <w:rsid w:val="00552510"/>
    <w:rsid w:val="0055536A"/>
    <w:rsid w:val="0055791C"/>
    <w:rsid w:val="005A1A82"/>
    <w:rsid w:val="005A2B25"/>
    <w:rsid w:val="005A3BB8"/>
    <w:rsid w:val="005A76DF"/>
    <w:rsid w:val="005D0236"/>
    <w:rsid w:val="005D49F8"/>
    <w:rsid w:val="005D4D58"/>
    <w:rsid w:val="005F09DA"/>
    <w:rsid w:val="005F1D23"/>
    <w:rsid w:val="005F7EF4"/>
    <w:rsid w:val="006077F3"/>
    <w:rsid w:val="00632A50"/>
    <w:rsid w:val="00643DC4"/>
    <w:rsid w:val="00645765"/>
    <w:rsid w:val="00647145"/>
    <w:rsid w:val="00657F95"/>
    <w:rsid w:val="006829CB"/>
    <w:rsid w:val="00685F42"/>
    <w:rsid w:val="006862B8"/>
    <w:rsid w:val="00686ED6"/>
    <w:rsid w:val="0069089C"/>
    <w:rsid w:val="006A171B"/>
    <w:rsid w:val="006A2BE1"/>
    <w:rsid w:val="006A4051"/>
    <w:rsid w:val="006A7D5F"/>
    <w:rsid w:val="006B7B63"/>
    <w:rsid w:val="006C122C"/>
    <w:rsid w:val="006C1744"/>
    <w:rsid w:val="006C27DB"/>
    <w:rsid w:val="006D5B7C"/>
    <w:rsid w:val="006D75CB"/>
    <w:rsid w:val="006E11DD"/>
    <w:rsid w:val="006E2A0A"/>
    <w:rsid w:val="006F495E"/>
    <w:rsid w:val="007361FF"/>
    <w:rsid w:val="00740E4D"/>
    <w:rsid w:val="007448A3"/>
    <w:rsid w:val="00750771"/>
    <w:rsid w:val="00757381"/>
    <w:rsid w:val="00764D0A"/>
    <w:rsid w:val="00770FF8"/>
    <w:rsid w:val="007B297D"/>
    <w:rsid w:val="007C2388"/>
    <w:rsid w:val="007C5FA7"/>
    <w:rsid w:val="007D5652"/>
    <w:rsid w:val="007F5C68"/>
    <w:rsid w:val="007F7C24"/>
    <w:rsid w:val="008026D4"/>
    <w:rsid w:val="00803CE0"/>
    <w:rsid w:val="00807244"/>
    <w:rsid w:val="008158B4"/>
    <w:rsid w:val="00821A69"/>
    <w:rsid w:val="0084441F"/>
    <w:rsid w:val="00863331"/>
    <w:rsid w:val="00873038"/>
    <w:rsid w:val="00895B98"/>
    <w:rsid w:val="00896CD4"/>
    <w:rsid w:val="008B24A5"/>
    <w:rsid w:val="008C0D37"/>
    <w:rsid w:val="008C4CA4"/>
    <w:rsid w:val="008D6DD5"/>
    <w:rsid w:val="008D7DB9"/>
    <w:rsid w:val="008E4A5A"/>
    <w:rsid w:val="008F4834"/>
    <w:rsid w:val="008F60BE"/>
    <w:rsid w:val="00921D3D"/>
    <w:rsid w:val="009244EB"/>
    <w:rsid w:val="00924D72"/>
    <w:rsid w:val="00925FA0"/>
    <w:rsid w:val="009424B1"/>
    <w:rsid w:val="009428B0"/>
    <w:rsid w:val="009639AE"/>
    <w:rsid w:val="009657F4"/>
    <w:rsid w:val="00974546"/>
    <w:rsid w:val="00976812"/>
    <w:rsid w:val="009A48D2"/>
    <w:rsid w:val="009A5C06"/>
    <w:rsid w:val="009B07B6"/>
    <w:rsid w:val="009B4E6E"/>
    <w:rsid w:val="009E6F27"/>
    <w:rsid w:val="00A016D1"/>
    <w:rsid w:val="00A20DC7"/>
    <w:rsid w:val="00A20EED"/>
    <w:rsid w:val="00A34741"/>
    <w:rsid w:val="00A43C2D"/>
    <w:rsid w:val="00A43C79"/>
    <w:rsid w:val="00A677EC"/>
    <w:rsid w:val="00A732D3"/>
    <w:rsid w:val="00A962D6"/>
    <w:rsid w:val="00AA7A77"/>
    <w:rsid w:val="00AB095E"/>
    <w:rsid w:val="00AB4E42"/>
    <w:rsid w:val="00AC3150"/>
    <w:rsid w:val="00AC44EA"/>
    <w:rsid w:val="00AC6525"/>
    <w:rsid w:val="00AE6DE5"/>
    <w:rsid w:val="00AF3868"/>
    <w:rsid w:val="00B227A7"/>
    <w:rsid w:val="00B27CA1"/>
    <w:rsid w:val="00B37E69"/>
    <w:rsid w:val="00B9148A"/>
    <w:rsid w:val="00B9349C"/>
    <w:rsid w:val="00B9481C"/>
    <w:rsid w:val="00B967BC"/>
    <w:rsid w:val="00BA1DB8"/>
    <w:rsid w:val="00BA2775"/>
    <w:rsid w:val="00BA30AF"/>
    <w:rsid w:val="00BE4F88"/>
    <w:rsid w:val="00BE51D6"/>
    <w:rsid w:val="00C06114"/>
    <w:rsid w:val="00C0745D"/>
    <w:rsid w:val="00C20906"/>
    <w:rsid w:val="00C24E1F"/>
    <w:rsid w:val="00C326FA"/>
    <w:rsid w:val="00C367BD"/>
    <w:rsid w:val="00C41EEC"/>
    <w:rsid w:val="00C46190"/>
    <w:rsid w:val="00C559CE"/>
    <w:rsid w:val="00C60709"/>
    <w:rsid w:val="00C61AC6"/>
    <w:rsid w:val="00C643C5"/>
    <w:rsid w:val="00C75B0F"/>
    <w:rsid w:val="00C93451"/>
    <w:rsid w:val="00C93FD5"/>
    <w:rsid w:val="00CA2EDB"/>
    <w:rsid w:val="00CA7DA1"/>
    <w:rsid w:val="00CB28C1"/>
    <w:rsid w:val="00CB4F18"/>
    <w:rsid w:val="00CC7ABA"/>
    <w:rsid w:val="00CD5328"/>
    <w:rsid w:val="00CF1F98"/>
    <w:rsid w:val="00CF64DE"/>
    <w:rsid w:val="00D006D8"/>
    <w:rsid w:val="00D04543"/>
    <w:rsid w:val="00D04ABD"/>
    <w:rsid w:val="00D058CF"/>
    <w:rsid w:val="00D061A2"/>
    <w:rsid w:val="00D30DEC"/>
    <w:rsid w:val="00D33C37"/>
    <w:rsid w:val="00D42403"/>
    <w:rsid w:val="00D4539E"/>
    <w:rsid w:val="00D93D74"/>
    <w:rsid w:val="00DC24DE"/>
    <w:rsid w:val="00DC5AF8"/>
    <w:rsid w:val="00DF14CE"/>
    <w:rsid w:val="00DF5DF7"/>
    <w:rsid w:val="00DF7BD2"/>
    <w:rsid w:val="00E07885"/>
    <w:rsid w:val="00E2091E"/>
    <w:rsid w:val="00E21F3A"/>
    <w:rsid w:val="00E350E3"/>
    <w:rsid w:val="00E6260A"/>
    <w:rsid w:val="00E673B3"/>
    <w:rsid w:val="00E94677"/>
    <w:rsid w:val="00E97F22"/>
    <w:rsid w:val="00EB2BE5"/>
    <w:rsid w:val="00EB4083"/>
    <w:rsid w:val="00ED6B3C"/>
    <w:rsid w:val="00EE3881"/>
    <w:rsid w:val="00EF2A7C"/>
    <w:rsid w:val="00EF4050"/>
    <w:rsid w:val="00F37ED8"/>
    <w:rsid w:val="00F56212"/>
    <w:rsid w:val="00F6156B"/>
    <w:rsid w:val="00F72376"/>
    <w:rsid w:val="00F91FC9"/>
    <w:rsid w:val="00F96663"/>
    <w:rsid w:val="00FA28A7"/>
    <w:rsid w:val="00FF1BAB"/>
    <w:rsid w:val="00FF230B"/>
    <w:rsid w:val="00FF3BEA"/>
    <w:rsid w:val="00FF5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8ABCA62"/>
  <w15:docId w15:val="{107840EE-934C-473A-A46E-EB09AD3384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7C2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448A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611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611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6111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611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61114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11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1114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DefaultParagraphFont"/>
    <w:rsid w:val="00FA28A7"/>
  </w:style>
  <w:style w:type="paragraph" w:customStyle="1" w:styleId="Default">
    <w:name w:val="Default"/>
    <w:rsid w:val="00F91FC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61AC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547342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53941">
          <w:marLeft w:val="99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296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9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34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571978">
          <w:marLeft w:val="57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214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9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Hi-TECH</dc:creator>
  <cp:lastModifiedBy>DAR AL-NASIH</cp:lastModifiedBy>
  <cp:revision>94</cp:revision>
  <dcterms:created xsi:type="dcterms:W3CDTF">2017-02-13T11:00:00Z</dcterms:created>
  <dcterms:modified xsi:type="dcterms:W3CDTF">2017-12-31T19:07:00Z</dcterms:modified>
</cp:coreProperties>
</file>