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EA1" w:rsidRDefault="00980EA1" w:rsidP="00980EA1">
      <w:pPr>
        <w:rPr>
          <w:rFonts w:ascii="Times New Roman" w:hAnsi="Times New Roman" w:cs="Times New Roman"/>
          <w:b/>
          <w:sz w:val="24"/>
          <w:szCs w:val="24"/>
        </w:rPr>
      </w:pPr>
      <w:r w:rsidRPr="00655A21">
        <w:rPr>
          <w:rFonts w:ascii="Times New Roman" w:hAnsi="Times New Roman" w:cs="Times New Roman"/>
          <w:b/>
          <w:sz w:val="24"/>
          <w:szCs w:val="24"/>
        </w:rPr>
        <w:t xml:space="preserve">Emerging </w:t>
      </w:r>
      <w:r>
        <w:rPr>
          <w:rFonts w:ascii="Times New Roman" w:hAnsi="Times New Roman" w:cs="Times New Roman"/>
          <w:b/>
          <w:sz w:val="24"/>
          <w:szCs w:val="24"/>
        </w:rPr>
        <w:t>heat-related c</w:t>
      </w:r>
      <w:r w:rsidRPr="00655A21">
        <w:rPr>
          <w:rFonts w:ascii="Times New Roman" w:hAnsi="Times New Roman" w:cs="Times New Roman"/>
          <w:b/>
          <w:sz w:val="24"/>
          <w:szCs w:val="24"/>
        </w:rPr>
        <w:t xml:space="preserve">limate </w:t>
      </w:r>
      <w:r>
        <w:rPr>
          <w:rFonts w:ascii="Times New Roman" w:hAnsi="Times New Roman" w:cs="Times New Roman"/>
          <w:b/>
          <w:sz w:val="24"/>
          <w:szCs w:val="24"/>
        </w:rPr>
        <w:t>c</w:t>
      </w:r>
      <w:r w:rsidRPr="00655A21">
        <w:rPr>
          <w:rFonts w:ascii="Times New Roman" w:hAnsi="Times New Roman" w:cs="Times New Roman"/>
          <w:b/>
          <w:sz w:val="24"/>
          <w:szCs w:val="24"/>
        </w:rPr>
        <w:t>hange influences</w:t>
      </w:r>
      <w:r>
        <w:rPr>
          <w:rFonts w:ascii="Times New Roman" w:hAnsi="Times New Roman" w:cs="Times New Roman"/>
          <w:b/>
          <w:sz w:val="24"/>
          <w:szCs w:val="24"/>
        </w:rPr>
        <w:t>;</w:t>
      </w:r>
      <w:r w:rsidRPr="00655A21">
        <w:rPr>
          <w:rFonts w:ascii="Times New Roman" w:hAnsi="Times New Roman" w:cs="Times New Roman"/>
          <w:b/>
          <w:sz w:val="24"/>
          <w:szCs w:val="24"/>
        </w:rPr>
        <w:t xml:space="preserve"> a public health challenge to </w:t>
      </w:r>
      <w:r>
        <w:rPr>
          <w:rFonts w:ascii="Times New Roman" w:hAnsi="Times New Roman" w:cs="Times New Roman"/>
          <w:b/>
          <w:sz w:val="24"/>
          <w:szCs w:val="24"/>
        </w:rPr>
        <w:t>h</w:t>
      </w:r>
      <w:r w:rsidRPr="00655A21">
        <w:rPr>
          <w:rFonts w:ascii="Times New Roman" w:hAnsi="Times New Roman" w:cs="Times New Roman"/>
          <w:b/>
          <w:sz w:val="24"/>
          <w:szCs w:val="24"/>
        </w:rPr>
        <w:t xml:space="preserve">ealth </w:t>
      </w:r>
      <w:r>
        <w:rPr>
          <w:rFonts w:ascii="Times New Roman" w:hAnsi="Times New Roman" w:cs="Times New Roman"/>
          <w:b/>
          <w:sz w:val="24"/>
          <w:szCs w:val="24"/>
        </w:rPr>
        <w:t>c</w:t>
      </w:r>
      <w:r w:rsidRPr="00655A21">
        <w:rPr>
          <w:rFonts w:ascii="Times New Roman" w:hAnsi="Times New Roman" w:cs="Times New Roman"/>
          <w:b/>
          <w:sz w:val="24"/>
          <w:szCs w:val="24"/>
        </w:rPr>
        <w:t xml:space="preserve">are </w:t>
      </w:r>
      <w:r>
        <w:rPr>
          <w:rFonts w:ascii="Times New Roman" w:hAnsi="Times New Roman" w:cs="Times New Roman"/>
          <w:b/>
          <w:sz w:val="24"/>
          <w:szCs w:val="24"/>
        </w:rPr>
        <w:t>p</w:t>
      </w:r>
      <w:r w:rsidRPr="00655A21">
        <w:rPr>
          <w:rFonts w:ascii="Times New Roman" w:hAnsi="Times New Roman" w:cs="Times New Roman"/>
          <w:b/>
          <w:sz w:val="24"/>
          <w:szCs w:val="24"/>
        </w:rPr>
        <w:t xml:space="preserve">ractitioners and </w:t>
      </w:r>
      <w:r>
        <w:rPr>
          <w:rFonts w:ascii="Times New Roman" w:hAnsi="Times New Roman" w:cs="Times New Roman"/>
          <w:b/>
          <w:sz w:val="24"/>
          <w:szCs w:val="24"/>
        </w:rPr>
        <w:t>p</w:t>
      </w:r>
      <w:r w:rsidRPr="00655A21">
        <w:rPr>
          <w:rFonts w:ascii="Times New Roman" w:hAnsi="Times New Roman" w:cs="Times New Roman"/>
          <w:b/>
          <w:sz w:val="24"/>
          <w:szCs w:val="24"/>
        </w:rPr>
        <w:t xml:space="preserve">olicy </w:t>
      </w:r>
      <w:r>
        <w:rPr>
          <w:rFonts w:ascii="Times New Roman" w:hAnsi="Times New Roman" w:cs="Times New Roman"/>
          <w:b/>
          <w:sz w:val="24"/>
          <w:szCs w:val="24"/>
        </w:rPr>
        <w:t>m</w:t>
      </w:r>
      <w:r w:rsidRPr="00655A21">
        <w:rPr>
          <w:rFonts w:ascii="Times New Roman" w:hAnsi="Times New Roman" w:cs="Times New Roman"/>
          <w:b/>
          <w:sz w:val="24"/>
          <w:szCs w:val="24"/>
        </w:rPr>
        <w:t>akers: Insight from Bulawayo, Zimbabwe</w:t>
      </w:r>
      <w:r>
        <w:rPr>
          <w:rFonts w:ascii="Times New Roman" w:hAnsi="Times New Roman" w:cs="Times New Roman"/>
          <w:b/>
          <w:sz w:val="24"/>
          <w:szCs w:val="24"/>
        </w:rPr>
        <w:t xml:space="preserve"> </w:t>
      </w:r>
      <w:bookmarkStart w:id="0" w:name="_GoBack"/>
      <w:bookmarkEnd w:id="0"/>
    </w:p>
    <w:p w:rsidR="00980EA1" w:rsidRPr="000B0AF7" w:rsidRDefault="00980EA1" w:rsidP="00980EA1">
      <w:pPr>
        <w:rPr>
          <w:rFonts w:ascii="Times New Roman" w:hAnsi="Times New Roman" w:cs="Times New Roman"/>
          <w:b/>
          <w:sz w:val="24"/>
          <w:szCs w:val="24"/>
        </w:rPr>
      </w:pPr>
      <w:r w:rsidRPr="000B0AF7">
        <w:rPr>
          <w:rFonts w:ascii="Times New Roman" w:hAnsi="Times New Roman" w:cs="Times New Roman"/>
          <w:b/>
          <w:sz w:val="24"/>
          <w:szCs w:val="24"/>
        </w:rPr>
        <w:t>Abstract</w:t>
      </w:r>
    </w:p>
    <w:p w:rsidR="00980EA1" w:rsidRDefault="00980EA1" w:rsidP="00980EA1">
      <w:pPr>
        <w:rPr>
          <w:rFonts w:ascii="Times New Roman" w:hAnsi="Times New Roman" w:cs="Times New Roman"/>
          <w:sz w:val="24"/>
          <w:szCs w:val="24"/>
        </w:rPr>
      </w:pPr>
      <w:r>
        <w:rPr>
          <w:rFonts w:ascii="Times New Roman" w:hAnsi="Times New Roman" w:cs="Times New Roman"/>
          <w:sz w:val="24"/>
          <w:szCs w:val="24"/>
        </w:rPr>
        <w:t>Current climate trends of extreme temperature</w:t>
      </w:r>
      <w:r w:rsidRPr="00267DCF">
        <w:rPr>
          <w:rFonts w:ascii="Times New Roman" w:hAnsi="Times New Roman" w:cs="Times New Roman"/>
          <w:sz w:val="24"/>
          <w:szCs w:val="24"/>
        </w:rPr>
        <w:t xml:space="preserve"> and humid</w:t>
      </w:r>
      <w:r>
        <w:rPr>
          <w:rFonts w:ascii="Times New Roman" w:hAnsi="Times New Roman" w:cs="Times New Roman"/>
          <w:sz w:val="24"/>
          <w:szCs w:val="24"/>
        </w:rPr>
        <w:t>ity during</w:t>
      </w:r>
      <w:r w:rsidRPr="00267DCF">
        <w:rPr>
          <w:rFonts w:ascii="Times New Roman" w:hAnsi="Times New Roman" w:cs="Times New Roman"/>
          <w:sz w:val="24"/>
          <w:szCs w:val="24"/>
        </w:rPr>
        <w:t xml:space="preserve"> summer present a public health dilemma in Zimbabwe and other developing countries.</w:t>
      </w:r>
      <w:r>
        <w:rPr>
          <w:rFonts w:ascii="Times New Roman" w:hAnsi="Times New Roman" w:cs="Times New Roman"/>
          <w:sz w:val="24"/>
          <w:szCs w:val="24"/>
        </w:rPr>
        <w:t xml:space="preserve"> National and local governments have defined roles to protect the health of populations under their jurisdictions as stipulated in relevant policies. The involvement of public health practitioners in policy development and management of heat-related illnesses is vital for the protection of the public, particularly vulnerable groups. The current role of health providers in developing countries regarding climate change impacts on health is considered suboptimal. Focus group interviews with public health practitioners and policy makers in the city of Bulawayo in Zimbabwe showed that officials lacked knowledge and awareness regarding heat-related impacts on health, particularly in relation to differences in individual susceptibility and currently employed heat adaptation and coping mechanisms. </w:t>
      </w:r>
    </w:p>
    <w:p w:rsidR="00907DD2" w:rsidRDefault="00907DD2"/>
    <w:sectPr w:rsidR="00907D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EA1"/>
    <w:rsid w:val="00907DD2"/>
    <w:rsid w:val="00980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911A0A-6F7F-4758-A838-D86D5FDD9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0E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166</Words>
  <Characters>950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Mahlazi Ngwenya</dc:creator>
  <cp:keywords/>
  <dc:description/>
  <cp:lastModifiedBy>Mahlazi Ngwenya</cp:lastModifiedBy>
  <cp:revision>1</cp:revision>
  <dcterms:created xsi:type="dcterms:W3CDTF">2017-11-18T21:25:00Z</dcterms:created>
  <dcterms:modified xsi:type="dcterms:W3CDTF">2017-11-18T21:27:00Z</dcterms:modified>
</cp:coreProperties>
</file>