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885" w:rsidRPr="009E1885" w:rsidRDefault="009E1885" w:rsidP="009E1885">
      <w:pPr>
        <w:ind w:left="720" w:righ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  <w:sectPr w:rsidR="009E1885" w:rsidRPr="009E1885" w:rsidSect="00CE7FC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ASSESSING THE PREVALENCE OF HEPATITIS B SURFACE ANTIGEN IN THE NORTHERN BRONG AHAFO REGION OF GHANA: LOCUS OF INTERVENTION MODEL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November 4</w:t>
      </w:r>
      <w:r w:rsidRPr="009E1885">
        <w:rPr>
          <w:rFonts w:ascii="Arial" w:hAnsi="Arial" w:cs="Arial"/>
          <w:color w:val="666666"/>
          <w:sz w:val="24"/>
          <w:szCs w:val="24"/>
          <w:vertAlign w:val="superscript"/>
        </w:rPr>
        <w:t>th</w:t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, 2017       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 xml:space="preserve">Paul Amo Kyeremeh, MPH, </w:t>
      </w:r>
      <w:proofErr w:type="spellStart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DrPH</w:t>
      </w:r>
      <w:proofErr w:type="spellEnd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. Email:  kwamepolycarp@gmail.com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Esther Amo Kyeremeh, MPH.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Patsy Adams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ABSTRACT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 xml:space="preserve">Background: Not much have been documented about the prevalence of hepatitis B surface antigen in the Brong-Ahafo region of Ghana.  This </w:t>
      </w:r>
      <w:bookmarkStart w:id="0" w:name="_GoBack"/>
      <w:bookmarkEnd w:id="0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study was conducted in six traditional areas in the Northern Part of Brong-Ahafo Region to ascertain the prevalence of hepatitis B surface antigen among the respondents to recommend intervention strategies for control and prevention.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Method of data gathering</w:t>
      </w:r>
      <w:proofErr w:type="gramStart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:</w:t>
      </w:r>
      <w:proofErr w:type="gramEnd"/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he data was obtained from the Department of Preventive Healthcare and Lifestyle Medicine at Valley View University Hospital, Techiman.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Sample population</w:t>
      </w:r>
      <w:proofErr w:type="gramStart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:</w:t>
      </w:r>
      <w:proofErr w:type="gramEnd"/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They were 444 respondents, 198 (44.6%) males and 246 (55.4%) females. The sample population were between 18 and 59 years old adults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Data gathering procedure</w:t>
      </w:r>
      <w:proofErr w:type="gramStart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:</w:t>
      </w:r>
      <w:proofErr w:type="gramEnd"/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The blood sample was collected by a finger prick.  Study design: The study is basically cross sessional.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Delimitation</w:t>
      </w:r>
      <w:proofErr w:type="gramStart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:</w:t>
      </w:r>
      <w:proofErr w:type="gramEnd"/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This paper is to assess the prevalence of hepatitis B surface antigen among the respondents. The serum blood sample was not taken but the whole blood from a finger pricks. This study is again limited to the causes and spread of hepatitis B surface antigen since such data could be obtained from the peer review journals, textbooks, and qualitative, or clinical research. 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Results</w:t>
      </w:r>
      <w:proofErr w:type="gramStart"/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:</w:t>
      </w:r>
      <w:proofErr w:type="gramEnd"/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Out of 444 respondents, 415(93.5%) had negative hepatitis B surface antigen, 29 (6.5%) respondents tested positive 15 (3.3%) males and 14 (3.2%) females. Cumulatively, 4.3% of the sample population were positive.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</w:rPr>
        <w:lastRenderedPageBreak/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Conclusion: </w:t>
      </w:r>
      <w:r w:rsidRPr="009E1885">
        <w:rPr>
          <w:rFonts w:ascii="Arial" w:hAnsi="Arial" w:cs="Arial"/>
          <w:color w:val="666666"/>
          <w:sz w:val="24"/>
          <w:szCs w:val="24"/>
        </w:rPr>
        <w:br/>
      </w:r>
      <w:r w:rsidRPr="009E1885">
        <w:rPr>
          <w:rFonts w:ascii="Arial" w:hAnsi="Arial" w:cs="Arial"/>
          <w:color w:val="666666"/>
          <w:sz w:val="24"/>
          <w:szCs w:val="24"/>
          <w:shd w:val="clear" w:color="auto" w:fill="FCFCFC"/>
        </w:rPr>
        <w:t>Health education on the awareness, mode of transmission, effects and the prevention of hepatitis B surface antigen are timely needed to save several thousand from poorer health outcome and mortalities in the Brong-Ahafo Region of Ghana which is likely due to hepatitis B virus antigen.  </w:t>
      </w:r>
    </w:p>
    <w:p w:rsidR="00007683" w:rsidRPr="009E1885" w:rsidRDefault="009E1885">
      <w:pPr>
        <w:rPr>
          <w:sz w:val="24"/>
          <w:szCs w:val="24"/>
        </w:rPr>
      </w:pPr>
    </w:p>
    <w:sectPr w:rsidR="00007683" w:rsidRPr="009E1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885"/>
    <w:rsid w:val="00145BFD"/>
    <w:rsid w:val="00944BA1"/>
    <w:rsid w:val="009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FE2D7D-EB91-485B-BFD9-751D7124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1708</Characters>
  <Application>Microsoft Office Word</Application>
  <DocSecurity>0</DocSecurity>
  <Lines>14</Lines>
  <Paragraphs>4</Paragraphs>
  <ScaleCrop>false</ScaleCrop>
  <Company>HP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MNGC</dc:creator>
  <cp:keywords/>
  <dc:description/>
  <cp:lastModifiedBy>MNGC</cp:lastModifiedBy>
  <cp:revision>1</cp:revision>
  <dcterms:created xsi:type="dcterms:W3CDTF">2017-11-06T16:35:00Z</dcterms:created>
  <dcterms:modified xsi:type="dcterms:W3CDTF">2017-11-06T16:36:00Z</dcterms:modified>
</cp:coreProperties>
</file>