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577" w:rsidRPr="00A93577" w:rsidRDefault="00A93577" w:rsidP="00A93577">
      <w:pPr>
        <w:pStyle w:val="Titre1"/>
        <w:spacing w:before="170"/>
        <w:rPr>
          <w:color w:val="337AB7"/>
        </w:rPr>
      </w:pPr>
      <w:r w:rsidRPr="00A93577">
        <w:rPr>
          <w:color w:val="337AB7"/>
        </w:rPr>
        <w:t xml:space="preserve">A Novel Synthetic Route </w:t>
      </w:r>
      <w:proofErr w:type="gramStart"/>
      <w:r w:rsidRPr="00A93577">
        <w:rPr>
          <w:color w:val="337AB7"/>
        </w:rPr>
        <w:t>To</w:t>
      </w:r>
      <w:proofErr w:type="gramEnd"/>
      <w:r w:rsidRPr="00A93577">
        <w:rPr>
          <w:color w:val="337AB7"/>
        </w:rPr>
        <w:t xml:space="preserve"> Micellar Polymer Additives For Fuels And Lubricants</w:t>
      </w:r>
    </w:p>
    <w:p w:rsidR="00A93577" w:rsidRDefault="00A93577" w:rsidP="00A93577">
      <w:pPr>
        <w:pStyle w:val="Corpsdetexte"/>
        <w:spacing w:before="73" w:line="198" w:lineRule="exact"/>
        <w:ind w:left="100" w:right="5987"/>
        <w:rPr>
          <w:rFonts w:ascii="Arial"/>
        </w:rPr>
      </w:pPr>
      <w:r w:rsidRPr="00A93577">
        <w:rPr>
          <w:rFonts w:ascii="Arial"/>
          <w:b/>
          <w:u w:val="single"/>
        </w:rPr>
        <w:t>Assia Stiti</w:t>
      </w:r>
    </w:p>
    <w:p w:rsidR="00A93577" w:rsidRDefault="00A93577" w:rsidP="00A93577">
      <w:pPr>
        <w:pStyle w:val="Corpsdetexte"/>
        <w:spacing w:before="73" w:line="198" w:lineRule="exact"/>
        <w:ind w:left="100" w:right="5987"/>
        <w:rPr>
          <w:rFonts w:ascii="Arial"/>
        </w:rPr>
      </w:pPr>
      <w:r>
        <w:rPr>
          <w:rFonts w:ascii="Arial"/>
        </w:rPr>
        <w:t xml:space="preserve">Dr. Ana Maria </w:t>
      </w:r>
      <w:proofErr w:type="spellStart"/>
      <w:r>
        <w:rPr>
          <w:rFonts w:ascii="Arial"/>
        </w:rPr>
        <w:t>Cenacchi</w:t>
      </w:r>
      <w:proofErr w:type="spellEnd"/>
      <w:r>
        <w:rPr>
          <w:rFonts w:ascii="Arial"/>
        </w:rPr>
        <w:t xml:space="preserve"> Pereira</w:t>
      </w:r>
    </w:p>
    <w:p w:rsidR="00A93577" w:rsidRDefault="00A93577" w:rsidP="00A93577">
      <w:pPr>
        <w:pStyle w:val="Corpsdetexte"/>
        <w:spacing w:before="73" w:line="198" w:lineRule="exact"/>
        <w:ind w:left="100" w:right="5987"/>
        <w:rPr>
          <w:rFonts w:ascii="Arial"/>
        </w:rPr>
      </w:pPr>
      <w:r>
        <w:rPr>
          <w:rFonts w:ascii="Arial"/>
        </w:rPr>
        <w:t xml:space="preserve">Pr. </w:t>
      </w:r>
      <w:r w:rsidRPr="00A93577">
        <w:rPr>
          <w:rFonts w:ascii="Arial"/>
        </w:rPr>
        <w:t>S</w:t>
      </w:r>
      <w:r w:rsidR="00BC3206">
        <w:rPr>
          <w:rFonts w:ascii="Arial"/>
        </w:rPr>
        <w:t>e</w:t>
      </w:r>
      <w:r w:rsidRPr="00A93577">
        <w:rPr>
          <w:rFonts w:ascii="Arial"/>
        </w:rPr>
        <w:t xml:space="preserve">bastien </w:t>
      </w:r>
      <w:r>
        <w:rPr>
          <w:rFonts w:ascii="Arial"/>
        </w:rPr>
        <w:t>L</w:t>
      </w:r>
      <w:r w:rsidRPr="00A93577">
        <w:rPr>
          <w:rFonts w:ascii="Arial"/>
        </w:rPr>
        <w:t xml:space="preserve">ecommandoux </w:t>
      </w:r>
    </w:p>
    <w:p w:rsidR="00A93577" w:rsidRPr="00A93577" w:rsidRDefault="00A93577" w:rsidP="00A93577">
      <w:pPr>
        <w:pStyle w:val="Corpsdetexte"/>
        <w:spacing w:before="73" w:line="198" w:lineRule="exact"/>
        <w:ind w:left="100" w:right="5987"/>
        <w:rPr>
          <w:rFonts w:ascii="Arial"/>
        </w:rPr>
      </w:pPr>
      <w:r>
        <w:rPr>
          <w:rFonts w:ascii="Arial"/>
        </w:rPr>
        <w:t xml:space="preserve">Pr. </w:t>
      </w:r>
      <w:r w:rsidRPr="00A93577">
        <w:rPr>
          <w:rFonts w:ascii="Arial"/>
        </w:rPr>
        <w:t xml:space="preserve">Daniel Taton </w:t>
      </w:r>
    </w:p>
    <w:p w:rsidR="00AE3E37" w:rsidRDefault="00BC3206">
      <w:pPr>
        <w:pStyle w:val="Corpsdetexte"/>
        <w:spacing w:before="3"/>
        <w:rPr>
          <w:rFonts w:ascii="Arial"/>
          <w:sz w:val="21"/>
        </w:rPr>
      </w:pPr>
      <w:r>
        <w:rPr>
          <w:noProof/>
        </w:rPr>
        <mc:AlternateContent>
          <mc:Choice Requires="wps">
            <w:drawing>
              <wp:anchor distT="0" distB="0" distL="114300" distR="114300" simplePos="0" relativeHeight="251661312" behindDoc="0" locked="0" layoutInCell="1" allowOverlap="1" wp14:anchorId="19053CC7" wp14:editId="78F9567C">
                <wp:simplePos x="0" y="0"/>
                <wp:positionH relativeFrom="column">
                  <wp:posOffset>3484880</wp:posOffset>
                </wp:positionH>
                <wp:positionV relativeFrom="paragraph">
                  <wp:posOffset>1854835</wp:posOffset>
                </wp:positionV>
                <wp:extent cx="3235325" cy="635"/>
                <wp:effectExtent l="0" t="0" r="0" b="0"/>
                <wp:wrapTopAndBottom/>
                <wp:docPr id="2" name="Zone de texte 2"/>
                <wp:cNvGraphicFramePr/>
                <a:graphic xmlns:a="http://schemas.openxmlformats.org/drawingml/2006/main">
                  <a:graphicData uri="http://schemas.microsoft.com/office/word/2010/wordprocessingShape">
                    <wps:wsp>
                      <wps:cNvSpPr txBox="1"/>
                      <wps:spPr>
                        <a:xfrm>
                          <a:off x="0" y="0"/>
                          <a:ext cx="3235325" cy="635"/>
                        </a:xfrm>
                        <a:prstGeom prst="rect">
                          <a:avLst/>
                        </a:prstGeom>
                        <a:solidFill>
                          <a:prstClr val="white"/>
                        </a:solidFill>
                        <a:ln>
                          <a:noFill/>
                        </a:ln>
                      </wps:spPr>
                      <wps:txbx>
                        <w:txbxContent>
                          <w:p w:rsidR="00BC3206" w:rsidRPr="00206D22" w:rsidRDefault="00BC3206" w:rsidP="00C16E21">
                            <w:pPr>
                              <w:pStyle w:val="Lgende"/>
                              <w:jc w:val="center"/>
                              <w:rPr>
                                <w:noProof/>
                              </w:rPr>
                            </w:pPr>
                            <w:r w:rsidRPr="00BC3206">
                              <w:rPr>
                                <w:b/>
                                <w:i w:val="0"/>
                                <w:color w:val="auto"/>
                              </w:rPr>
                              <w:t xml:space="preserve">Figure </w:t>
                            </w:r>
                            <w:r w:rsidRPr="00BC3206">
                              <w:rPr>
                                <w:b/>
                                <w:i w:val="0"/>
                                <w:color w:val="auto"/>
                              </w:rPr>
                              <w:fldChar w:fldCharType="begin"/>
                            </w:r>
                            <w:r w:rsidRPr="00BC3206">
                              <w:rPr>
                                <w:b/>
                                <w:i w:val="0"/>
                                <w:color w:val="auto"/>
                              </w:rPr>
                              <w:instrText xml:space="preserve"> SEQ Figure \* ARABIC </w:instrText>
                            </w:r>
                            <w:r w:rsidRPr="00BC3206">
                              <w:rPr>
                                <w:b/>
                                <w:i w:val="0"/>
                                <w:color w:val="auto"/>
                              </w:rPr>
                              <w:fldChar w:fldCharType="separate"/>
                            </w:r>
                            <w:r w:rsidRPr="00BC3206">
                              <w:rPr>
                                <w:b/>
                                <w:i w:val="0"/>
                                <w:noProof/>
                                <w:color w:val="auto"/>
                              </w:rPr>
                              <w:t>1</w:t>
                            </w:r>
                            <w:r w:rsidRPr="00BC3206">
                              <w:rPr>
                                <w:b/>
                                <w:i w:val="0"/>
                                <w:color w:val="auto"/>
                              </w:rPr>
                              <w:fldChar w:fldCharType="end"/>
                            </w:r>
                            <w:r w:rsidRPr="00BC3206">
                              <w:rPr>
                                <w:b/>
                                <w:i w:val="0"/>
                                <w:color w:val="auto"/>
                              </w:rPr>
                              <w:t>.</w:t>
                            </w:r>
                            <w:r w:rsidRPr="00BC3206">
                              <w:rPr>
                                <w:color w:val="auto"/>
                              </w:rPr>
                              <w:t xml:space="preserve"> </w:t>
                            </w:r>
                            <w:r w:rsidRPr="00BC3206">
                              <w:rPr>
                                <w:i w:val="0"/>
                                <w:iCs w:val="0"/>
                                <w:color w:val="auto"/>
                                <w:sz w:val="16"/>
                              </w:rPr>
                              <w:t>Group transfer polymerization induced self-assembly (GTPISA) of (meth</w:t>
                            </w:r>
                            <w:proofErr w:type="gramStart"/>
                            <w:r w:rsidRPr="00BC3206">
                              <w:rPr>
                                <w:i w:val="0"/>
                                <w:iCs w:val="0"/>
                                <w:color w:val="auto"/>
                                <w:sz w:val="16"/>
                              </w:rPr>
                              <w:t>)acrylate</w:t>
                            </w:r>
                            <w:proofErr w:type="gramEnd"/>
                            <w:r w:rsidRPr="00BC3206">
                              <w:rPr>
                                <w:i w:val="0"/>
                                <w:iCs w:val="0"/>
                                <w:color w:val="auto"/>
                                <w:sz w:val="16"/>
                              </w:rPr>
                              <w:t xml:space="preserve"> monomers at RT in non-polar solvent as an organocatalyzed route to block copolymer nanoparticles (spheres, worms and vesicles).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9053CC7" id="_x0000_t202" coordsize="21600,21600" o:spt="202" path="m,l,21600r21600,l21600,xe">
                <v:stroke joinstyle="miter"/>
                <v:path gradientshapeok="t" o:connecttype="rect"/>
              </v:shapetype>
              <v:shape id="Zone de texte 2" o:spid="_x0000_s1026" type="#_x0000_t202" style="position:absolute;margin-left:274.4pt;margin-top:146.05pt;width:254.7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" stroked="f">
                <v:textbox style="mso-fit-shape-to-text:t" inset="0,0,0,0">
                  <w:txbxContent>
                    <w:p w:rsidR="00BC3206" w:rsidRPr="00206D22" w:rsidRDefault="00BC3206" w:rsidP="00C16E21">
                      <w:pPr>
                        <w:pStyle w:val="Lgende"/>
                        <w:jc w:val="center"/>
                        <w:rPr>
                          <w:noProof/>
                        </w:rPr>
                      </w:pPr>
                      <w:r w:rsidRPr="00BC3206">
                        <w:rPr>
                          <w:b/>
                          <w:i w:val="0"/>
                          <w:color w:val="auto"/>
                        </w:rPr>
                        <w:t xml:space="preserve">Figure </w:t>
                      </w:r>
                      <w:r w:rsidRPr="00BC3206">
                        <w:rPr>
                          <w:b/>
                          <w:i w:val="0"/>
                          <w:color w:val="auto"/>
                        </w:rPr>
                        <w:fldChar w:fldCharType="begin"/>
                      </w:r>
                      <w:r w:rsidRPr="00BC3206">
                        <w:rPr>
                          <w:b/>
                          <w:i w:val="0"/>
                          <w:color w:val="auto"/>
                        </w:rPr>
                        <w:instrText xml:space="preserve"> SEQ Figure \* ARABIC </w:instrText>
                      </w:r>
                      <w:r w:rsidRPr="00BC3206">
                        <w:rPr>
                          <w:b/>
                          <w:i w:val="0"/>
                          <w:color w:val="auto"/>
                        </w:rPr>
                        <w:fldChar w:fldCharType="separate"/>
                      </w:r>
                      <w:r w:rsidRPr="00BC3206">
                        <w:rPr>
                          <w:b/>
                          <w:i w:val="0"/>
                          <w:noProof/>
                          <w:color w:val="auto"/>
                        </w:rPr>
                        <w:t>1</w:t>
                      </w:r>
                      <w:r w:rsidRPr="00BC3206">
                        <w:rPr>
                          <w:b/>
                          <w:i w:val="0"/>
                          <w:color w:val="auto"/>
                        </w:rPr>
                        <w:fldChar w:fldCharType="end"/>
                      </w:r>
                      <w:r w:rsidRPr="00BC3206">
                        <w:rPr>
                          <w:b/>
                          <w:i w:val="0"/>
                          <w:color w:val="auto"/>
                        </w:rPr>
                        <w:t>.</w:t>
                      </w:r>
                      <w:r w:rsidRPr="00BC3206">
                        <w:rPr>
                          <w:color w:val="auto"/>
                        </w:rPr>
                        <w:t xml:space="preserve"> </w:t>
                      </w:r>
                      <w:r w:rsidRPr="00BC3206">
                        <w:rPr>
                          <w:i w:val="0"/>
                          <w:iCs w:val="0"/>
                          <w:color w:val="auto"/>
                          <w:sz w:val="16"/>
                        </w:rPr>
                        <w:t>Group transfer polymerization induced self-assembly (GTPISA) of (meth</w:t>
                      </w:r>
                      <w:proofErr w:type="gramStart"/>
                      <w:r w:rsidRPr="00BC3206">
                        <w:rPr>
                          <w:i w:val="0"/>
                          <w:iCs w:val="0"/>
                          <w:color w:val="auto"/>
                          <w:sz w:val="16"/>
                        </w:rPr>
                        <w:t>)acrylate</w:t>
                      </w:r>
                      <w:proofErr w:type="gramEnd"/>
                      <w:r w:rsidRPr="00BC3206">
                        <w:rPr>
                          <w:i w:val="0"/>
                          <w:iCs w:val="0"/>
                          <w:color w:val="auto"/>
                          <w:sz w:val="16"/>
                        </w:rPr>
                        <w:t xml:space="preserve"> monomers at RT in non-polar solvent as an organocatalyzed route to block copolymer nanoparticles (spheres, worms and vesicles).</w:t>
                      </w:r>
                    </w:p>
                  </w:txbxContent>
                </v:textbox>
                <w10:wrap type="topAndBottom"/>
              </v:shape>
            </w:pict>
          </mc:Fallback>
        </mc:AlternateContent>
      </w:r>
      <w:r w:rsidR="00776414">
        <w:rPr>
          <w:noProof/>
        </w:rPr>
        <w:drawing>
          <wp:anchor distT="0" distB="0" distL="0" distR="0" simplePos="0" relativeHeight="251660800" behindDoc="0" locked="0" layoutInCell="1" allowOverlap="1">
            <wp:simplePos x="0" y="0"/>
            <wp:positionH relativeFrom="page">
              <wp:posOffset>3878580</wp:posOffset>
            </wp:positionH>
            <wp:positionV relativeFrom="paragraph">
              <wp:posOffset>255270</wp:posOffset>
            </wp:positionV>
            <wp:extent cx="3247040" cy="15480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7040" cy="1548000"/>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93577" w:rsidRPr="00A93577" w:rsidRDefault="00A93577" w:rsidP="00DD077F">
      <w:pPr>
        <w:pStyle w:val="Titre3"/>
        <w:spacing w:before="147" w:line="360" w:lineRule="auto"/>
        <w:jc w:val="both"/>
        <w:rPr>
          <w:rFonts w:ascii="Tw Cen MT" w:eastAsia="Tw Cen MT" w:hAnsi="Tw Cen MT" w:cs="Tw Cen MT"/>
          <w:b w:val="0"/>
          <w:bCs w:val="0"/>
          <w:sz w:val="18"/>
          <w:szCs w:val="18"/>
        </w:rPr>
      </w:pPr>
      <w:r w:rsidRPr="00A93577">
        <w:rPr>
          <w:rFonts w:ascii="Tw Cen MT" w:eastAsia="Tw Cen MT" w:hAnsi="Tw Cen MT" w:cs="Tw Cen MT"/>
          <w:b w:val="0"/>
          <w:bCs w:val="0"/>
          <w:sz w:val="18"/>
          <w:szCs w:val="18"/>
        </w:rPr>
        <w:t>Polymerization-induced self-assembly (PISA) enables the synthesis at large scale of a wide variety of functional nanoparticles.</w:t>
      </w:r>
      <w:r w:rsidR="00506EC8">
        <w:rPr>
          <w:rFonts w:ascii="Tw Cen MT" w:eastAsia="Tw Cen MT" w:hAnsi="Tw Cen MT" w:cs="Tw Cen MT"/>
          <w:b w:val="0"/>
          <w:bCs w:val="0"/>
          <w:sz w:val="18"/>
          <w:szCs w:val="18"/>
        </w:rPr>
        <w:fldChar w:fldCharType="begin" w:fldLock="1"/>
      </w:r>
      <w:r w:rsidR="00DD077F">
        <w:rPr>
          <w:rFonts w:ascii="Tw Cen MT" w:eastAsia="Tw Cen MT" w:hAnsi="Tw Cen MT" w:cs="Tw Cen MT"/>
          <w:b w:val="0"/>
          <w:bCs w:val="0"/>
          <w:sz w:val="18"/>
          <w:szCs w:val="18"/>
        </w:rPr>
        <w:instrText>ADDIN CSL_CITATION {"citationItems":[{"id":"ITEM-1","itemData":{"DOI":"10.1002/marc.202100498","ISSN":"15213927","PMID":"34418199","abstract":"Over the past decade or so, polymerization-induced self-assembly (PISA) has become a versatile method for rational preparation of concentrated block copolymer nanoparticles with a diverse set of morphologies. Much of the PISA literature has focused on the preparation of well-defined linear block copolymers by using linear macromolecular chain transfer agents (macro-CTAs) with high chain transfer constants. In this review, a recent process is highlighted from an unusual angle that has expanded the scope of PISA including i) synthesis of block copolymers with nonlinear architectures (e.g., star block copolymer, branched block copolymer) by PISA, ii) in situ synthesis of blends of polymers by PISA, and iii) utilization of macro-CTAs with low chain transfer constants in PISA. By highlighting these important examples, new insights into the research of PISA and future impact these methods will have on polymer and colloid synthesis are provided.","author":[{"dropping-particle":"","family":"Cao","given":"Junpeng","non-dropping-particle":"","parse-names":false,"suffix":""},{"dropping-particle":"","family":"Tan","given":"Yingxin","non-dropping-particle":"","parse-names":false,"suffix":""},{"dropping-particle":"","family":"Chen","given":"Ying","non-dropping-particle":"","parse-names":false,"suffix":""},{"dropping-particle":"","family":"Zhang","given":"Li","non-dropping-particle":"","parse-names":false,"suffix":""},{"dropping-particle":"","family":"Tan","given":"Jianbo","non-dropping-particle":"","parse-names":false,"suffix":""}],"container-title":"Macromolecular Rapid Communications","id":"ITEM-1","issue":"23","issued":{"date-parts":[["2021"]]},"page":"1-12","title":"Expanding the Scope of Polymerization-Induced Self-Assembly: Recent Advances and New Horizons","type":"article-journal","volume":"42"},"uris":["http://www.mendeley.com/documents/?uuid=5e14b2de-8e5d-4cab-9355-93bb5e989b80"]},{"id":"ITEM-2","itemData":{"DOI":"10.1039/d0py00455c","ISSN":"17599962","abstract":"The development of controlled/\"living\" polymerization greatly stimulated the prosperity of the fabrication and application of block copolymer nano-objects. Controlled/\"living\" polymerization was later extended to the scope of polymerization-induced self-assembly (PISA), in which a linear increase of the solvophobic blocks resulted in systemic variation of the packing parameter and almost ergodic morphology transitions. PISA combines polymerization and self-assembly in a much concentrated solution, which has been demonstrated to be a powerful strategy for fabricating block copolymer nano-objects. Various controlled/\"living\" polymerization techniques, such as reversible addition-fragmentation chain transfer (RAFT) polymerization, nitroxide-mediated polymerization (NMP), atom transfer radical polymerization (ATRP), \"living\" anionic polymerization, and ring-opening metathesis polymerization (ROMP), have been used in PISA to date. In this review, we summarize the developments of polymerization techniques in PISA, which complementarily enlarge the scope of PISA to a broad range of reaction conditions and monomer families.","author":[{"dropping-particle":"","family":"Liu","given":"Chao","non-dropping-particle":"","parse-names":false,"suffix":""},{"dropping-particle":"","family":"Hong","given":"Chun Yan","non-dropping-particle":"","parse-names":false,"suffix":""},{"dropping-particle":"","family":"Pan","given":"Cai Yuan","non-dropping-particle":"","parse-names":false,"suffix":""}],"container-title":"Polymer Chemistry","id":"ITEM-2","issue":"22","issued":{"date-parts":[["2020"]]},"page":"3673-3689","publisher":"Royal Society of Chemistry","title":"Polymerization techniques in polymerization-induced self-assembly (PISA)","type":"article-journal","volume":"11"},"uris":["http://www.mendeley.com/documents/?uuid=d7739f0f-91ea-4eb3-be3a-8a751d2f108e"]},{"id":"ITEM-3","itemData":{"DOI":"10.1002/anie.201911758","ISSN":"15213773","PMID":"31584738","abstract":"After a brief history that positions polymerization-induced self-assembly (PISA) in the field of polymer chemistry, this Review will cover the fundamentals of the PISA mechanism. Furthermore, this Review will also give an overview of some of the features and limitations of RAFT-mediated PISA in terms of the choice of the components involved, the nature of the nanoobjects that can be obtained and how the syntheses can be controlled, as well as some potential applications.","author":[{"dropping-particle":"","family":"D'Agosto","given":"Franck","non-dropping-particle":"","parse-names":false,"suffix":""},{"dropping-particle":"","family":"Rieger","given":"Jutta","non-dropping-particle":"","parse-names":false,"suffix":""},{"dropping-particle":"","family":"Lansalot","given":"Muriel","non-dropping-particle":"","parse-names":false,"suffix":""}],"container-title":"Angewandte Chemie - International Edition","id":"ITEM-3","issue":"22","issued":{"date-parts":[["2020"]]},"page":"8368-8392","title":"RAFT-Mediated Polymerization-Induced Self-Assembly","type":"article-journal","volume":"59"},"uris":["http://www.mendeley.com/documents/?uuid=08580b2e-31ac-4899-ac0b-16dace45170a"]},{"id":"ITEM-4","itemData":{"DOI":"10.1039/c3sc50305d","ISSN":"20416539","abstract":"Well-defined poly(lauryl methacrylate-benzyl methacrylate) (PLMA-PBzMA) diblock copolymer nanoparticles are prepared in n-heptane at 90 °C via reversible addition-fragmentation chain transfer (RAFT) polymerization. Under these conditions, the PLMA macromolecular chain transfer agent (macro-CTA) is soluble in n-heptane, whereas the growing PBzMA block quickly becomes insoluble. Thus this dispersion polymerization formulation leads to polymerization-induced self-assembly (PISA). Using a relatively long PLMA macro-CTA with a mean degree of polymerization (DP) of 37 or higher leads to the formation of well-defined spherical nanoparticles of 41 to 139 nm diameter, depending on the DP targeted for the PBzMA block. In contrast, TEM studies confirm that using a relatively short PLMA macro-CTA (DP = 17) enables both worm-like and vesicular morphologies to be produced, in addition to the spherical phase. A detailed phase diagram has been elucidated for this more asymmetric diblock copolymer formulation, which ensures that each pure phase can be targeted reproducibly. 1H NMR spectroscopy confirmed that high BzMA monomer conversions (&gt;97%) were achieved within 5 h, while GPC studies indicated that reasonably good blocking efficiencies and relatively low diblock copolymer polydispersities (Mw/Mn &lt; 1.30) were obtained in most cases. Compared to prior literature reports, this all-methacrylic PISA formulation is particularly novel because: (i) it is the first time that higher order morphologies (e.g. worms and vesicles) have been accessed in non-polar solvents and (ii) such diblock copolymer nano-objects are expected to have potential boundary lubrication applications for engine oils. © 2013 Royal Society of Chemistry.","author":[{"dropping-particle":"","family":"Fielding","given":"Lee A.","non-dropping-particle":"","parse-names":false,"suffix":""},{"dropping-particle":"","family":"Derry","given":"Matthew J.","non-dropping-particle":"","parse-names":false,"suffix":""},{"dropping-particle":"","family":"Ladmiral","given":"Vincent","non-dropping-particle":"","parse-names":false,"suffix":""},{"dropping-particle":"","family":"Rosselgong","given":"Julien","non-dropping-particle":"","parse-names":false,"suffix":""},{"dropping-particle":"","family":"Rodrigues","given":"Aurélie M.","non-dropping-particle":"","parse-names":false,"suffix":""},{"dropping-particle":"","family":"Ratcliffe","given":"Liam P.D.","non-dropping-particle":"","parse-names":false,"suffix":""},{"dropping-particle":"","family":"Sugihara","given":"Shinji","non-dropping-particle":"","parse-names":false,"suffix":""},{"dropping-particle":"","family":"Armes","given":"Steven P.","non-dropping-particle":"","parse-names":false,"suffix":""}],"container-title":"Chemical Science","id":"ITEM-4","issue":"5","issued":{"date-parts":[["2013"]]},"page":"2081-2087","title":"RAFT dispersion polymerization in non-polar solvents: Facile production of block copolymer spheres, worms and vesicles in n-alkanes","type":"article-journal","volume":"4"},"uris":["http://www.mendeley.com/documents/?uuid=f6f839a1-b2f0-4d8b-af65-1e7d00518638"]},{"id":"ITEM-5","itemData":{"DOI":"10.1002/marc.201800551","ISSN":"15213927","PMID":"30325550","abstract":"Polymerization-induced self-assembly (PISA) is becoming a standard technique for generating core–shell polymeric nanoparticles of various morphologies ranging from classic spheres to rods/fibers (“worm-like”) and vesicles. After the initial quest for polymerization control in dispersed media, the focus of PISA research has drastically shifted, first to morphological control and now to the introduction of reactivity and functionality in order to generate useful materials. The present review is dedicated to the latter aspect. Reactivity is distinguished from functionality such as complexing, templating, and catalyzing. Approaches for either shell or core functionalization are also detailed separately.","author":[{"dropping-particle":"","family":"Le","given":"Dao","non-dropping-particle":"","parse-names":false,"suffix":""},{"dropping-particle":"","family":"Keller","given":"Dominic","non-dropping-particle":"","parse-names":false,"suffix":""},{"dropping-particle":"","family":"Delaittre","given":"Guillaume","non-dropping-particle":"","parse-names":false,"suffix":""}],"container-title":"Macromolecular Rapid Communications","id":"ITEM-5","issue":"2","issued":{"date-parts":[["2019"]]},"page":"1-21","title":"Reactive and Functional Nanoobjects by Polymerization-Induced Self-Assembly","type":"article-journal","volume":"40"},"uris":["http://www.mendeley.com/documents/?uuid=5408036b-f988-433d-a7a3-d4645cf42f71"]},{"id":"ITEM-6","itemData":{"author":[{"dropping-particle":"","family":"Fuchise","given":"Keita","non-dropping-particle":"","parse-names":false,"suffix":""},{"dropping-particle":"","family":"Chen","given":"Yougen","non-dropping-particle":"","parse-names":false,"suffix":""},{"dropping-particle":"","family":"Satoh","given":"Toshifumi","non-dropping-particle":"","parse-names":false,"suffix":""},{"dropping-particle":"","family":"Kakuchi","given":"Toyoji","non-dropping-particle":"","parse-names":false,"suffix":""}],"container-title":"Polymer Chemistry","id":"ITEM-6","issued":{"date-parts":[["2013"]]},"page":"4278","title":"Recent progress in organocatalytic group transfer polymerization","type":"article-journal","volume":"4"},"uris":["http://www.mendeley.com/documents/?uuid=19768938-f417-3a29-a4e9-0bdbc4af3734"]}],"mendeley":{"formattedCitation":"&lt;sup&gt;[1–6]&lt;/sup&gt;","plainTextFormattedCitation":"[1–6]","previouslyFormattedCitation":"&lt;sup&gt;1–6&lt;/sup&gt;"},"properties":{"noteIndex":0},"schema":"https://github.com/citation-style-language/schema/raw/master/csl-citation.json"}</w:instrText>
      </w:r>
      <w:r w:rsidR="00506EC8">
        <w:rPr>
          <w:rFonts w:ascii="Tw Cen MT" w:eastAsia="Tw Cen MT" w:hAnsi="Tw Cen MT" w:cs="Tw Cen MT"/>
          <w:b w:val="0"/>
          <w:bCs w:val="0"/>
          <w:sz w:val="18"/>
          <w:szCs w:val="18"/>
        </w:rPr>
        <w:fldChar w:fldCharType="separate"/>
      </w:r>
      <w:r w:rsidR="00DD077F" w:rsidRPr="00DD077F">
        <w:rPr>
          <w:rFonts w:ascii="Tw Cen MT" w:eastAsia="Tw Cen MT" w:hAnsi="Tw Cen MT" w:cs="Tw Cen MT"/>
          <w:b w:val="0"/>
          <w:bCs w:val="0"/>
          <w:noProof/>
          <w:sz w:val="18"/>
          <w:szCs w:val="18"/>
          <w:vertAlign w:val="superscript"/>
        </w:rPr>
        <w:t>[1–6]</w:t>
      </w:r>
      <w:r w:rsidR="00506EC8">
        <w:rPr>
          <w:rFonts w:ascii="Tw Cen MT" w:eastAsia="Tw Cen MT" w:hAnsi="Tw Cen MT" w:cs="Tw Cen MT"/>
          <w:b w:val="0"/>
          <w:bCs w:val="0"/>
          <w:sz w:val="18"/>
          <w:szCs w:val="18"/>
        </w:rPr>
        <w:fldChar w:fldCharType="end"/>
      </w:r>
      <w:r w:rsidRPr="00A93577">
        <w:rPr>
          <w:rFonts w:ascii="Tw Cen MT" w:eastAsia="Tw Cen MT" w:hAnsi="Tw Cen MT" w:cs="Tw Cen MT"/>
          <w:b w:val="0"/>
          <w:bCs w:val="0"/>
          <w:sz w:val="18"/>
          <w:szCs w:val="18"/>
        </w:rPr>
        <w:t xml:space="preserve"> However, most of the work </w:t>
      </w:r>
      <w:proofErr w:type="gramStart"/>
      <w:r w:rsidRPr="00A93577">
        <w:rPr>
          <w:rFonts w:ascii="Tw Cen MT" w:eastAsia="Tw Cen MT" w:hAnsi="Tw Cen MT" w:cs="Tw Cen MT"/>
          <w:b w:val="0"/>
          <w:bCs w:val="0"/>
          <w:sz w:val="18"/>
          <w:szCs w:val="18"/>
        </w:rPr>
        <w:t>is related</w:t>
      </w:r>
      <w:proofErr w:type="gramEnd"/>
      <w:r w:rsidRPr="00A93577">
        <w:rPr>
          <w:rFonts w:ascii="Tw Cen MT" w:eastAsia="Tw Cen MT" w:hAnsi="Tw Cen MT" w:cs="Tw Cen MT"/>
          <w:b w:val="0"/>
          <w:bCs w:val="0"/>
          <w:sz w:val="18"/>
          <w:szCs w:val="18"/>
        </w:rPr>
        <w:t xml:space="preserve"> to controlled radical polymerization (CRP) methods and is generally undertaken at elevated temperatures (&gt; 50 °C). We present the first work on methacrylate-based nanoparticles fabricated by group transfer polymerization-induced self-assembly (GTPISA) in non-polar media (n-heptane). This GTPISA process is achieved at room temperature using </w:t>
      </w:r>
      <w:proofErr w:type="gramStart"/>
      <w:r w:rsidRPr="00A93577">
        <w:rPr>
          <w:rFonts w:ascii="Tw Cen MT" w:eastAsia="Tw Cen MT" w:hAnsi="Tw Cen MT" w:cs="Tw Cen MT"/>
          <w:b w:val="0"/>
          <w:bCs w:val="0"/>
          <w:sz w:val="18"/>
          <w:szCs w:val="18"/>
        </w:rPr>
        <w:t>1-</w:t>
      </w:r>
      <w:proofErr w:type="gramEnd"/>
      <w:r w:rsidRPr="00A93577">
        <w:rPr>
          <w:rFonts w:ascii="Tw Cen MT" w:eastAsia="Tw Cen MT" w:hAnsi="Tw Cen MT" w:cs="Tw Cen MT"/>
          <w:b w:val="0"/>
          <w:bCs w:val="0"/>
          <w:sz w:val="18"/>
          <w:szCs w:val="18"/>
        </w:rPr>
        <w:t>methoxy-1-(</w:t>
      </w:r>
      <w:proofErr w:type="spellStart"/>
      <w:r w:rsidRPr="00A93577">
        <w:rPr>
          <w:rFonts w:ascii="Tw Cen MT" w:eastAsia="Tw Cen MT" w:hAnsi="Tw Cen MT" w:cs="Tw Cen MT"/>
          <w:b w:val="0"/>
          <w:bCs w:val="0"/>
          <w:sz w:val="18"/>
          <w:szCs w:val="18"/>
        </w:rPr>
        <w:t>trimethylsiloxy</w:t>
      </w:r>
      <w:proofErr w:type="spellEnd"/>
      <w:r w:rsidRPr="00A93577">
        <w:rPr>
          <w:rFonts w:ascii="Tw Cen MT" w:eastAsia="Tw Cen MT" w:hAnsi="Tw Cen MT" w:cs="Tw Cen MT"/>
          <w:b w:val="0"/>
          <w:bCs w:val="0"/>
          <w:sz w:val="18"/>
          <w:szCs w:val="18"/>
        </w:rPr>
        <w:t xml:space="preserve">)-2-methylprop-1-ene (MTS) and </w:t>
      </w:r>
      <w:proofErr w:type="spellStart"/>
      <w:r w:rsidRPr="00A93577">
        <w:rPr>
          <w:rFonts w:ascii="Tw Cen MT" w:eastAsia="Tw Cen MT" w:hAnsi="Tw Cen MT" w:cs="Tw Cen MT"/>
          <w:b w:val="0"/>
          <w:bCs w:val="0"/>
          <w:sz w:val="18"/>
          <w:szCs w:val="18"/>
        </w:rPr>
        <w:t>tetrabutylammonium</w:t>
      </w:r>
      <w:proofErr w:type="spellEnd"/>
      <w:r w:rsidRPr="00A93577">
        <w:rPr>
          <w:rFonts w:ascii="Tw Cen MT" w:eastAsia="Tw Cen MT" w:hAnsi="Tw Cen MT" w:cs="Tw Cen MT"/>
          <w:b w:val="0"/>
          <w:bCs w:val="0"/>
          <w:sz w:val="18"/>
          <w:szCs w:val="18"/>
        </w:rPr>
        <w:t xml:space="preserve"> </w:t>
      </w:r>
      <w:proofErr w:type="spellStart"/>
      <w:r w:rsidRPr="00A93577">
        <w:rPr>
          <w:rFonts w:ascii="Tw Cen MT" w:eastAsia="Tw Cen MT" w:hAnsi="Tw Cen MT" w:cs="Tw Cen MT"/>
          <w:b w:val="0"/>
          <w:bCs w:val="0"/>
          <w:sz w:val="18"/>
          <w:szCs w:val="18"/>
        </w:rPr>
        <w:t>bis</w:t>
      </w:r>
      <w:proofErr w:type="spellEnd"/>
      <w:r w:rsidRPr="00A93577">
        <w:rPr>
          <w:rFonts w:ascii="Tw Cen MT" w:eastAsia="Tw Cen MT" w:hAnsi="Tw Cen MT" w:cs="Tw Cen MT"/>
          <w:b w:val="0"/>
          <w:bCs w:val="0"/>
          <w:sz w:val="18"/>
          <w:szCs w:val="18"/>
        </w:rPr>
        <w:t xml:space="preserve">-benzoate (TBABB) as initiator and organic catalyst, respectively. Under these conditions, well-defined metal-free and colorless </w:t>
      </w:r>
      <w:proofErr w:type="spellStart"/>
      <w:r w:rsidRPr="00A93577">
        <w:rPr>
          <w:rFonts w:ascii="Tw Cen MT" w:eastAsia="Tw Cen MT" w:hAnsi="Tw Cen MT" w:cs="Tw Cen MT"/>
          <w:b w:val="0"/>
          <w:bCs w:val="0"/>
          <w:sz w:val="18"/>
          <w:szCs w:val="18"/>
        </w:rPr>
        <w:t>diblock</w:t>
      </w:r>
      <w:proofErr w:type="spellEnd"/>
      <w:r w:rsidRPr="00A93577">
        <w:rPr>
          <w:rFonts w:ascii="Tw Cen MT" w:eastAsia="Tw Cen MT" w:hAnsi="Tw Cen MT" w:cs="Tw Cen MT"/>
          <w:b w:val="0"/>
          <w:bCs w:val="0"/>
          <w:sz w:val="18"/>
          <w:szCs w:val="18"/>
        </w:rPr>
        <w:t xml:space="preserve"> copolymers </w:t>
      </w:r>
      <w:proofErr w:type="gramStart"/>
      <w:r w:rsidRPr="00A93577">
        <w:rPr>
          <w:rFonts w:ascii="Tw Cen MT" w:eastAsia="Tw Cen MT" w:hAnsi="Tw Cen MT" w:cs="Tw Cen MT"/>
          <w:b w:val="0"/>
          <w:bCs w:val="0"/>
          <w:sz w:val="18"/>
          <w:szCs w:val="18"/>
        </w:rPr>
        <w:t>are produced</w:t>
      </w:r>
      <w:proofErr w:type="gramEnd"/>
      <w:r w:rsidRPr="00A93577">
        <w:rPr>
          <w:rFonts w:ascii="Tw Cen MT" w:eastAsia="Tw Cen MT" w:hAnsi="Tw Cen MT" w:cs="Tw Cen MT"/>
          <w:b w:val="0"/>
          <w:bCs w:val="0"/>
          <w:sz w:val="18"/>
          <w:szCs w:val="18"/>
        </w:rPr>
        <w:t xml:space="preserve"> with efficient crossover from the stabilizing first block to the non-soluble segment. The resulting methacrylate block copolymers simultaneously self-assemble into nanostructures of various sizes and morphologies. Once the core of these micelles is cross-linked using EGDMA, the resulting nanoparticles become more resistant to temperature variations. The core functionalization of these micelles </w:t>
      </w:r>
      <w:proofErr w:type="gramStart"/>
      <w:r w:rsidRPr="00A93577">
        <w:rPr>
          <w:rFonts w:ascii="Tw Cen MT" w:eastAsia="Tw Cen MT" w:hAnsi="Tw Cen MT" w:cs="Tw Cen MT"/>
          <w:b w:val="0"/>
          <w:bCs w:val="0"/>
          <w:sz w:val="18"/>
          <w:szCs w:val="18"/>
        </w:rPr>
        <w:t>has also been achieved</w:t>
      </w:r>
      <w:proofErr w:type="gramEnd"/>
      <w:r w:rsidRPr="00A93577">
        <w:rPr>
          <w:rFonts w:ascii="Tw Cen MT" w:eastAsia="Tw Cen MT" w:hAnsi="Tw Cen MT" w:cs="Tw Cen MT"/>
          <w:b w:val="0"/>
          <w:bCs w:val="0"/>
          <w:sz w:val="18"/>
          <w:szCs w:val="18"/>
        </w:rPr>
        <w:t xml:space="preserve"> by introducing TEMPO functions, thus </w:t>
      </w:r>
      <w:proofErr w:type="spellStart"/>
      <w:r w:rsidRPr="00A93577">
        <w:rPr>
          <w:rFonts w:ascii="Tw Cen MT" w:eastAsia="Tw Cen MT" w:hAnsi="Tw Cen MT" w:cs="Tw Cen MT"/>
          <w:b w:val="0"/>
          <w:bCs w:val="0"/>
          <w:sz w:val="18"/>
          <w:szCs w:val="18"/>
        </w:rPr>
        <w:t>antioxidation</w:t>
      </w:r>
      <w:proofErr w:type="spellEnd"/>
      <w:r w:rsidRPr="00A93577">
        <w:rPr>
          <w:rFonts w:ascii="Tw Cen MT" w:eastAsia="Tw Cen MT" w:hAnsi="Tw Cen MT" w:cs="Tw Cen MT"/>
          <w:b w:val="0"/>
          <w:bCs w:val="0"/>
          <w:sz w:val="18"/>
          <w:szCs w:val="18"/>
        </w:rPr>
        <w:t xml:space="preserve"> applications for lubricants </w:t>
      </w:r>
      <w:r>
        <w:rPr>
          <w:rFonts w:ascii="Tw Cen MT" w:eastAsia="Tw Cen MT" w:hAnsi="Tw Cen MT" w:cs="Tw Cen MT"/>
          <w:b w:val="0"/>
          <w:bCs w:val="0"/>
          <w:sz w:val="18"/>
          <w:szCs w:val="18"/>
        </w:rPr>
        <w:t xml:space="preserve">and fuels </w:t>
      </w:r>
      <w:r w:rsidRPr="00A93577">
        <w:rPr>
          <w:rFonts w:ascii="Tw Cen MT" w:eastAsia="Tw Cen MT" w:hAnsi="Tw Cen MT" w:cs="Tw Cen MT"/>
          <w:b w:val="0"/>
          <w:bCs w:val="0"/>
          <w:sz w:val="18"/>
          <w:szCs w:val="18"/>
        </w:rPr>
        <w:t>can then be considered. GTPISA in non-polar solvent proceeds rapidly, avoids the use of sulfur or halogenated compounds or metallic catalysts associated with the implementation of CRP methods.</w:t>
      </w:r>
    </w:p>
    <w:p w:rsidR="00AE3E37" w:rsidRPr="00DD077F" w:rsidRDefault="00AE3E37">
      <w:pPr>
        <w:pStyle w:val="Corpsdetexte"/>
        <w:spacing w:before="2"/>
        <w:rPr>
          <w:b/>
        </w:rPr>
      </w:pPr>
    </w:p>
    <w:p w:rsidR="00DD077F" w:rsidRDefault="00DD077F" w:rsidP="00DD077F">
      <w:pPr>
        <w:autoSpaceDE w:val="0"/>
        <w:autoSpaceDN w:val="0"/>
        <w:adjustRightInd w:val="0"/>
        <w:spacing w:line="240" w:lineRule="exact"/>
        <w:ind w:left="640" w:hanging="640"/>
        <w:rPr>
          <w:b/>
          <w:color w:val="BF5A14"/>
          <w:sz w:val="18"/>
          <w:szCs w:val="18"/>
        </w:rPr>
      </w:pPr>
    </w:p>
    <w:p w:rsidR="00DD077F" w:rsidRDefault="00DD077F" w:rsidP="00DD077F">
      <w:pPr>
        <w:autoSpaceDE w:val="0"/>
        <w:autoSpaceDN w:val="0"/>
        <w:adjustRightInd w:val="0"/>
        <w:spacing w:line="240" w:lineRule="exact"/>
        <w:ind w:left="640" w:hanging="640"/>
        <w:rPr>
          <w:b/>
          <w:color w:val="BF5A14"/>
          <w:sz w:val="18"/>
          <w:szCs w:val="18"/>
        </w:rPr>
      </w:pPr>
    </w:p>
    <w:p w:rsidR="001B299C" w:rsidRDefault="001B299C" w:rsidP="00DD077F">
      <w:pPr>
        <w:autoSpaceDE w:val="0"/>
        <w:autoSpaceDN w:val="0"/>
        <w:adjustRightInd w:val="0"/>
        <w:spacing w:line="240" w:lineRule="exact"/>
        <w:ind w:left="640" w:hanging="640"/>
        <w:rPr>
          <w:b/>
          <w:color w:val="BF5A14"/>
          <w:sz w:val="18"/>
          <w:szCs w:val="18"/>
        </w:rPr>
      </w:pPr>
    </w:p>
    <w:p w:rsidR="00DD077F" w:rsidRDefault="00DD077F" w:rsidP="00DD077F">
      <w:pPr>
        <w:autoSpaceDE w:val="0"/>
        <w:autoSpaceDN w:val="0"/>
        <w:adjustRightInd w:val="0"/>
        <w:spacing w:line="240" w:lineRule="exact"/>
        <w:ind w:left="640" w:hanging="640"/>
        <w:rPr>
          <w:b/>
          <w:color w:val="BF5A14"/>
          <w:sz w:val="18"/>
          <w:szCs w:val="18"/>
        </w:rPr>
      </w:pPr>
    </w:p>
    <w:p w:rsidR="00DD077F" w:rsidRDefault="00DD077F" w:rsidP="00DD077F">
      <w:pPr>
        <w:autoSpaceDE w:val="0"/>
        <w:autoSpaceDN w:val="0"/>
        <w:adjustRightInd w:val="0"/>
        <w:spacing w:line="240" w:lineRule="exact"/>
        <w:ind w:left="640" w:hanging="640"/>
        <w:rPr>
          <w:b/>
          <w:color w:val="BF5A14"/>
          <w:sz w:val="18"/>
          <w:szCs w:val="18"/>
        </w:rPr>
      </w:pPr>
    </w:p>
    <w:p w:rsidR="00DD077F" w:rsidRDefault="00DD077F" w:rsidP="00DD077F">
      <w:pPr>
        <w:autoSpaceDE w:val="0"/>
        <w:autoSpaceDN w:val="0"/>
        <w:adjustRightInd w:val="0"/>
        <w:spacing w:line="240" w:lineRule="exact"/>
        <w:ind w:left="640" w:hanging="640"/>
        <w:rPr>
          <w:b/>
          <w:color w:val="BF5A14"/>
          <w:sz w:val="18"/>
          <w:szCs w:val="18"/>
        </w:rPr>
      </w:pPr>
    </w:p>
    <w:p w:rsidR="001B299C" w:rsidRDefault="001B299C" w:rsidP="00DD077F">
      <w:pPr>
        <w:autoSpaceDE w:val="0"/>
        <w:autoSpaceDN w:val="0"/>
        <w:adjustRightInd w:val="0"/>
        <w:spacing w:line="240" w:lineRule="exact"/>
        <w:ind w:left="640" w:hanging="640"/>
        <w:rPr>
          <w:b/>
          <w:color w:val="BF5A14"/>
          <w:sz w:val="18"/>
          <w:szCs w:val="18"/>
        </w:rPr>
      </w:pPr>
    </w:p>
    <w:p w:rsidR="00DD077F" w:rsidRDefault="00DD077F" w:rsidP="00DD077F">
      <w:pPr>
        <w:autoSpaceDE w:val="0"/>
        <w:autoSpaceDN w:val="0"/>
        <w:adjustRightInd w:val="0"/>
        <w:spacing w:line="240" w:lineRule="exact"/>
        <w:ind w:left="640" w:hanging="640"/>
        <w:rPr>
          <w:b/>
          <w:color w:val="BF5A14"/>
          <w:sz w:val="18"/>
          <w:szCs w:val="18"/>
        </w:rPr>
      </w:pPr>
    </w:p>
    <w:p w:rsidR="00DD077F" w:rsidRPr="00DD077F" w:rsidRDefault="00DD077F" w:rsidP="00DD077F">
      <w:pPr>
        <w:autoSpaceDE w:val="0"/>
        <w:autoSpaceDN w:val="0"/>
        <w:adjustRightInd w:val="0"/>
        <w:spacing w:line="240" w:lineRule="exact"/>
        <w:ind w:left="640" w:hanging="640"/>
        <w:rPr>
          <w:rFonts w:cs="Arial"/>
          <w:noProof/>
          <w:sz w:val="18"/>
          <w:szCs w:val="18"/>
        </w:rPr>
      </w:pPr>
      <w:r w:rsidRPr="00DD077F">
        <w:rPr>
          <w:b/>
          <w:color w:val="BF5A14"/>
          <w:sz w:val="18"/>
          <w:szCs w:val="18"/>
        </w:rPr>
        <w:fldChar w:fldCharType="begin" w:fldLock="1"/>
      </w:r>
      <w:r w:rsidRPr="00DD077F">
        <w:rPr>
          <w:b/>
          <w:color w:val="BF5A14"/>
          <w:sz w:val="18"/>
          <w:szCs w:val="18"/>
        </w:rPr>
        <w:instrText xml:space="preserve">ADDIN Mendeley Bibliography CSL_BIBLIOGRAPHY </w:instrText>
      </w:r>
      <w:r w:rsidRPr="00DD077F">
        <w:rPr>
          <w:b/>
          <w:color w:val="BF5A14"/>
          <w:sz w:val="18"/>
          <w:szCs w:val="18"/>
        </w:rPr>
        <w:fldChar w:fldCharType="separate"/>
      </w:r>
      <w:r w:rsidRPr="00DD077F">
        <w:rPr>
          <w:rFonts w:cs="Arial"/>
          <w:noProof/>
          <w:sz w:val="18"/>
          <w:szCs w:val="18"/>
        </w:rPr>
        <w:t>[1]</w:t>
      </w:r>
      <w:r w:rsidRPr="00DD077F">
        <w:rPr>
          <w:rFonts w:cs="Arial"/>
          <w:noProof/>
          <w:sz w:val="18"/>
          <w:szCs w:val="18"/>
        </w:rPr>
        <w:tab/>
        <w:t xml:space="preserve">J. Cao, Y. Tan, Y. Chen, L. Zhang, J. Tan, </w:t>
      </w:r>
      <w:r w:rsidRPr="00DD077F">
        <w:rPr>
          <w:rFonts w:cs="Arial"/>
          <w:i/>
          <w:iCs/>
          <w:noProof/>
          <w:sz w:val="18"/>
          <w:szCs w:val="18"/>
        </w:rPr>
        <w:t>Macromol. Rapid Commun.</w:t>
      </w:r>
      <w:r w:rsidRPr="00DD077F">
        <w:rPr>
          <w:rFonts w:cs="Arial"/>
          <w:noProof/>
          <w:sz w:val="18"/>
          <w:szCs w:val="18"/>
        </w:rPr>
        <w:t xml:space="preserve"> </w:t>
      </w:r>
      <w:r w:rsidRPr="00DD077F">
        <w:rPr>
          <w:rFonts w:cs="Arial"/>
          <w:b/>
          <w:bCs/>
          <w:noProof/>
          <w:sz w:val="18"/>
          <w:szCs w:val="18"/>
        </w:rPr>
        <w:t>2021</w:t>
      </w:r>
      <w:r w:rsidRPr="00DD077F">
        <w:rPr>
          <w:rFonts w:cs="Arial"/>
          <w:noProof/>
          <w:sz w:val="18"/>
          <w:szCs w:val="18"/>
        </w:rPr>
        <w:t xml:space="preserve">, </w:t>
      </w:r>
      <w:r w:rsidRPr="00DD077F">
        <w:rPr>
          <w:rFonts w:cs="Arial"/>
          <w:i/>
          <w:iCs/>
          <w:noProof/>
          <w:sz w:val="18"/>
          <w:szCs w:val="18"/>
        </w:rPr>
        <w:t>42</w:t>
      </w:r>
      <w:r w:rsidRPr="00DD077F">
        <w:rPr>
          <w:rFonts w:cs="Arial"/>
          <w:noProof/>
          <w:sz w:val="18"/>
          <w:szCs w:val="18"/>
        </w:rPr>
        <w:t>, 1–12.</w:t>
      </w:r>
    </w:p>
    <w:p w:rsidR="00DD077F" w:rsidRPr="00DD077F" w:rsidRDefault="00DD077F" w:rsidP="00DD077F">
      <w:pPr>
        <w:autoSpaceDE w:val="0"/>
        <w:autoSpaceDN w:val="0"/>
        <w:adjustRightInd w:val="0"/>
        <w:spacing w:line="240" w:lineRule="exact"/>
        <w:ind w:left="640" w:hanging="640"/>
        <w:rPr>
          <w:rFonts w:cs="Arial"/>
          <w:noProof/>
          <w:sz w:val="18"/>
          <w:szCs w:val="18"/>
        </w:rPr>
      </w:pPr>
      <w:r w:rsidRPr="00DD077F">
        <w:rPr>
          <w:rFonts w:cs="Arial"/>
          <w:noProof/>
          <w:sz w:val="18"/>
          <w:szCs w:val="18"/>
        </w:rPr>
        <w:t>[2]</w:t>
      </w:r>
      <w:r w:rsidRPr="00DD077F">
        <w:rPr>
          <w:rFonts w:cs="Arial"/>
          <w:noProof/>
          <w:sz w:val="18"/>
          <w:szCs w:val="18"/>
        </w:rPr>
        <w:tab/>
        <w:t xml:space="preserve">C. Liu, C. Y. Hong, C. Y. Pan, </w:t>
      </w:r>
      <w:r w:rsidRPr="00DD077F">
        <w:rPr>
          <w:rFonts w:cs="Arial"/>
          <w:i/>
          <w:iCs/>
          <w:noProof/>
          <w:sz w:val="18"/>
          <w:szCs w:val="18"/>
        </w:rPr>
        <w:t>Polym. Chem.</w:t>
      </w:r>
      <w:r w:rsidRPr="00DD077F">
        <w:rPr>
          <w:rFonts w:cs="Arial"/>
          <w:noProof/>
          <w:sz w:val="18"/>
          <w:szCs w:val="18"/>
        </w:rPr>
        <w:t xml:space="preserve"> </w:t>
      </w:r>
      <w:r w:rsidRPr="00DD077F">
        <w:rPr>
          <w:rFonts w:cs="Arial"/>
          <w:b/>
          <w:bCs/>
          <w:noProof/>
          <w:sz w:val="18"/>
          <w:szCs w:val="18"/>
        </w:rPr>
        <w:t>2020</w:t>
      </w:r>
      <w:r w:rsidRPr="00DD077F">
        <w:rPr>
          <w:rFonts w:cs="Arial"/>
          <w:noProof/>
          <w:sz w:val="18"/>
          <w:szCs w:val="18"/>
        </w:rPr>
        <w:t xml:space="preserve">, </w:t>
      </w:r>
      <w:r w:rsidRPr="00DD077F">
        <w:rPr>
          <w:rFonts w:cs="Arial"/>
          <w:i/>
          <w:iCs/>
          <w:noProof/>
          <w:sz w:val="18"/>
          <w:szCs w:val="18"/>
        </w:rPr>
        <w:t>11</w:t>
      </w:r>
      <w:r w:rsidRPr="00DD077F">
        <w:rPr>
          <w:rFonts w:cs="Arial"/>
          <w:noProof/>
          <w:sz w:val="18"/>
          <w:szCs w:val="18"/>
        </w:rPr>
        <w:t>, 3673–3689.</w:t>
      </w:r>
    </w:p>
    <w:p w:rsidR="00DD077F" w:rsidRPr="00DD077F" w:rsidRDefault="00DD077F" w:rsidP="00DD077F">
      <w:pPr>
        <w:autoSpaceDE w:val="0"/>
        <w:autoSpaceDN w:val="0"/>
        <w:adjustRightInd w:val="0"/>
        <w:spacing w:line="240" w:lineRule="exact"/>
        <w:ind w:left="640" w:hanging="640"/>
        <w:rPr>
          <w:rFonts w:cs="Arial"/>
          <w:noProof/>
          <w:sz w:val="18"/>
          <w:szCs w:val="18"/>
        </w:rPr>
      </w:pPr>
      <w:r w:rsidRPr="00DD077F">
        <w:rPr>
          <w:rFonts w:cs="Arial"/>
          <w:noProof/>
          <w:sz w:val="18"/>
          <w:szCs w:val="18"/>
        </w:rPr>
        <w:t>[3]</w:t>
      </w:r>
      <w:r w:rsidRPr="00DD077F">
        <w:rPr>
          <w:rFonts w:cs="Arial"/>
          <w:noProof/>
          <w:sz w:val="18"/>
          <w:szCs w:val="18"/>
        </w:rPr>
        <w:tab/>
        <w:t xml:space="preserve">F. D’Agosto, J. Rieger, M. Lansalot, </w:t>
      </w:r>
      <w:r w:rsidRPr="00DD077F">
        <w:rPr>
          <w:rFonts w:cs="Arial"/>
          <w:i/>
          <w:iCs/>
          <w:noProof/>
          <w:sz w:val="18"/>
          <w:szCs w:val="18"/>
        </w:rPr>
        <w:t>Angew. Chemie - Int. Ed.</w:t>
      </w:r>
      <w:r w:rsidRPr="00DD077F">
        <w:rPr>
          <w:rFonts w:cs="Arial"/>
          <w:noProof/>
          <w:sz w:val="18"/>
          <w:szCs w:val="18"/>
        </w:rPr>
        <w:t xml:space="preserve"> </w:t>
      </w:r>
      <w:r w:rsidRPr="00DD077F">
        <w:rPr>
          <w:rFonts w:cs="Arial"/>
          <w:b/>
          <w:bCs/>
          <w:noProof/>
          <w:sz w:val="18"/>
          <w:szCs w:val="18"/>
        </w:rPr>
        <w:t>2020</w:t>
      </w:r>
      <w:r w:rsidRPr="00DD077F">
        <w:rPr>
          <w:rFonts w:cs="Arial"/>
          <w:noProof/>
          <w:sz w:val="18"/>
          <w:szCs w:val="18"/>
        </w:rPr>
        <w:t xml:space="preserve">, </w:t>
      </w:r>
      <w:r w:rsidRPr="00DD077F">
        <w:rPr>
          <w:rFonts w:cs="Arial"/>
          <w:i/>
          <w:iCs/>
          <w:noProof/>
          <w:sz w:val="18"/>
          <w:szCs w:val="18"/>
        </w:rPr>
        <w:t>59</w:t>
      </w:r>
      <w:r w:rsidRPr="00DD077F">
        <w:rPr>
          <w:rFonts w:cs="Arial"/>
          <w:noProof/>
          <w:sz w:val="18"/>
          <w:szCs w:val="18"/>
        </w:rPr>
        <w:t>, 8368–8392.</w:t>
      </w:r>
    </w:p>
    <w:p w:rsidR="00DD077F" w:rsidRPr="00DD077F" w:rsidRDefault="00DD077F" w:rsidP="00DD077F">
      <w:pPr>
        <w:autoSpaceDE w:val="0"/>
        <w:autoSpaceDN w:val="0"/>
        <w:adjustRightInd w:val="0"/>
        <w:spacing w:line="240" w:lineRule="exact"/>
        <w:ind w:left="640" w:hanging="640"/>
        <w:rPr>
          <w:rFonts w:cs="Arial"/>
          <w:noProof/>
          <w:sz w:val="18"/>
          <w:szCs w:val="18"/>
        </w:rPr>
      </w:pPr>
      <w:r w:rsidRPr="00DD077F">
        <w:rPr>
          <w:rFonts w:cs="Arial"/>
          <w:noProof/>
          <w:sz w:val="18"/>
          <w:szCs w:val="18"/>
        </w:rPr>
        <w:t>[4]</w:t>
      </w:r>
      <w:r w:rsidRPr="00DD077F">
        <w:rPr>
          <w:rFonts w:cs="Arial"/>
          <w:noProof/>
          <w:sz w:val="18"/>
          <w:szCs w:val="18"/>
        </w:rPr>
        <w:tab/>
        <w:t xml:space="preserve">L. A. Fielding, M. J. Derry, V. Ladmiral, J. Rosselgong, A. M. Rodrigues, L. P. D. Ratcliffe, S. Sugihara, S. P. Armes, </w:t>
      </w:r>
      <w:r w:rsidRPr="00DD077F">
        <w:rPr>
          <w:rFonts w:cs="Arial"/>
          <w:i/>
          <w:iCs/>
          <w:noProof/>
          <w:sz w:val="18"/>
          <w:szCs w:val="18"/>
        </w:rPr>
        <w:t>Chem. Sci.</w:t>
      </w:r>
      <w:r w:rsidRPr="00DD077F">
        <w:rPr>
          <w:rFonts w:cs="Arial"/>
          <w:noProof/>
          <w:sz w:val="18"/>
          <w:szCs w:val="18"/>
        </w:rPr>
        <w:t xml:space="preserve"> </w:t>
      </w:r>
      <w:r w:rsidRPr="00DD077F">
        <w:rPr>
          <w:rFonts w:cs="Arial"/>
          <w:b/>
          <w:bCs/>
          <w:noProof/>
          <w:sz w:val="18"/>
          <w:szCs w:val="18"/>
        </w:rPr>
        <w:t>2013</w:t>
      </w:r>
      <w:r w:rsidRPr="00DD077F">
        <w:rPr>
          <w:rFonts w:cs="Arial"/>
          <w:noProof/>
          <w:sz w:val="18"/>
          <w:szCs w:val="18"/>
        </w:rPr>
        <w:t xml:space="preserve">, </w:t>
      </w:r>
      <w:r w:rsidRPr="00DD077F">
        <w:rPr>
          <w:rFonts w:cs="Arial"/>
          <w:i/>
          <w:iCs/>
          <w:noProof/>
          <w:sz w:val="18"/>
          <w:szCs w:val="18"/>
        </w:rPr>
        <w:t>4</w:t>
      </w:r>
      <w:r w:rsidRPr="00DD077F">
        <w:rPr>
          <w:rFonts w:cs="Arial"/>
          <w:noProof/>
          <w:sz w:val="18"/>
          <w:szCs w:val="18"/>
        </w:rPr>
        <w:t>, 2081–2087.</w:t>
      </w:r>
    </w:p>
    <w:p w:rsidR="00DD077F" w:rsidRPr="00DD077F" w:rsidRDefault="00DD077F" w:rsidP="00DD077F">
      <w:pPr>
        <w:autoSpaceDE w:val="0"/>
        <w:autoSpaceDN w:val="0"/>
        <w:adjustRightInd w:val="0"/>
        <w:spacing w:line="240" w:lineRule="exact"/>
        <w:ind w:left="640" w:hanging="640"/>
        <w:rPr>
          <w:rFonts w:cs="Arial"/>
          <w:noProof/>
          <w:sz w:val="18"/>
          <w:szCs w:val="18"/>
        </w:rPr>
      </w:pPr>
      <w:r w:rsidRPr="00DD077F">
        <w:rPr>
          <w:rFonts w:cs="Arial"/>
          <w:noProof/>
          <w:sz w:val="18"/>
          <w:szCs w:val="18"/>
        </w:rPr>
        <w:t>[5]</w:t>
      </w:r>
      <w:r w:rsidRPr="00DD077F">
        <w:rPr>
          <w:rFonts w:cs="Arial"/>
          <w:noProof/>
          <w:sz w:val="18"/>
          <w:szCs w:val="18"/>
        </w:rPr>
        <w:tab/>
        <w:t xml:space="preserve">D. Le, D. Keller, G. Delaittre, </w:t>
      </w:r>
      <w:r w:rsidRPr="00DD077F">
        <w:rPr>
          <w:rFonts w:cs="Arial"/>
          <w:i/>
          <w:iCs/>
          <w:noProof/>
          <w:sz w:val="18"/>
          <w:szCs w:val="18"/>
        </w:rPr>
        <w:t>Macromol. Rapid Commun.</w:t>
      </w:r>
      <w:r w:rsidRPr="00DD077F">
        <w:rPr>
          <w:rFonts w:cs="Arial"/>
          <w:noProof/>
          <w:sz w:val="18"/>
          <w:szCs w:val="18"/>
        </w:rPr>
        <w:t xml:space="preserve"> </w:t>
      </w:r>
      <w:r w:rsidRPr="00DD077F">
        <w:rPr>
          <w:rFonts w:cs="Arial"/>
          <w:b/>
          <w:bCs/>
          <w:noProof/>
          <w:sz w:val="18"/>
          <w:szCs w:val="18"/>
        </w:rPr>
        <w:t>2019</w:t>
      </w:r>
      <w:r w:rsidRPr="00DD077F">
        <w:rPr>
          <w:rFonts w:cs="Arial"/>
          <w:noProof/>
          <w:sz w:val="18"/>
          <w:szCs w:val="18"/>
        </w:rPr>
        <w:t xml:space="preserve">, </w:t>
      </w:r>
      <w:r w:rsidRPr="00DD077F">
        <w:rPr>
          <w:rFonts w:cs="Arial"/>
          <w:i/>
          <w:iCs/>
          <w:noProof/>
          <w:sz w:val="18"/>
          <w:szCs w:val="18"/>
        </w:rPr>
        <w:t>40</w:t>
      </w:r>
      <w:r w:rsidRPr="00DD077F">
        <w:rPr>
          <w:rFonts w:cs="Arial"/>
          <w:noProof/>
          <w:sz w:val="18"/>
          <w:szCs w:val="18"/>
        </w:rPr>
        <w:t>, 1–21.</w:t>
      </w:r>
    </w:p>
    <w:p w:rsidR="00DD077F" w:rsidRPr="00DD077F" w:rsidRDefault="00DD077F" w:rsidP="00DD077F">
      <w:pPr>
        <w:autoSpaceDE w:val="0"/>
        <w:autoSpaceDN w:val="0"/>
        <w:adjustRightInd w:val="0"/>
        <w:spacing w:line="240" w:lineRule="exact"/>
        <w:ind w:left="640" w:hanging="640"/>
        <w:rPr>
          <w:rFonts w:cs="Arial"/>
          <w:noProof/>
          <w:sz w:val="18"/>
          <w:szCs w:val="18"/>
        </w:rPr>
      </w:pPr>
      <w:r w:rsidRPr="00DD077F">
        <w:rPr>
          <w:rFonts w:cs="Arial"/>
          <w:noProof/>
          <w:sz w:val="18"/>
          <w:szCs w:val="18"/>
        </w:rPr>
        <w:t>[6]</w:t>
      </w:r>
      <w:r w:rsidRPr="00DD077F">
        <w:rPr>
          <w:rFonts w:cs="Arial"/>
          <w:noProof/>
          <w:sz w:val="18"/>
          <w:szCs w:val="18"/>
        </w:rPr>
        <w:tab/>
        <w:t xml:space="preserve">K. Fuchise, Y. Chen, T. Satoh, T. Kakuchi, </w:t>
      </w:r>
      <w:r w:rsidRPr="00DD077F">
        <w:rPr>
          <w:rFonts w:cs="Arial"/>
          <w:i/>
          <w:iCs/>
          <w:noProof/>
          <w:sz w:val="18"/>
          <w:szCs w:val="18"/>
        </w:rPr>
        <w:t>Polym. Chem.</w:t>
      </w:r>
      <w:r w:rsidRPr="00DD077F">
        <w:rPr>
          <w:rFonts w:cs="Arial"/>
          <w:noProof/>
          <w:sz w:val="18"/>
          <w:szCs w:val="18"/>
        </w:rPr>
        <w:t xml:space="preserve"> </w:t>
      </w:r>
      <w:r w:rsidRPr="00DD077F">
        <w:rPr>
          <w:rFonts w:cs="Arial"/>
          <w:b/>
          <w:bCs/>
          <w:noProof/>
          <w:sz w:val="18"/>
          <w:szCs w:val="18"/>
        </w:rPr>
        <w:t>2013</w:t>
      </w:r>
      <w:r w:rsidRPr="00DD077F">
        <w:rPr>
          <w:rFonts w:cs="Arial"/>
          <w:noProof/>
          <w:sz w:val="18"/>
          <w:szCs w:val="18"/>
        </w:rPr>
        <w:t xml:space="preserve">, </w:t>
      </w:r>
      <w:r w:rsidRPr="00DD077F">
        <w:rPr>
          <w:rFonts w:cs="Arial"/>
          <w:i/>
          <w:iCs/>
          <w:noProof/>
          <w:sz w:val="18"/>
          <w:szCs w:val="18"/>
        </w:rPr>
        <w:t>4</w:t>
      </w:r>
      <w:r w:rsidRPr="00DD077F">
        <w:rPr>
          <w:rFonts w:cs="Arial"/>
          <w:noProof/>
          <w:sz w:val="18"/>
          <w:szCs w:val="18"/>
        </w:rPr>
        <w:t>, 4278.</w:t>
      </w:r>
    </w:p>
    <w:p w:rsidR="00A93577" w:rsidRDefault="00DD077F" w:rsidP="005973B9">
      <w:pPr>
        <w:spacing w:line="204" w:lineRule="exact"/>
        <w:rPr>
          <w:rFonts w:ascii="Arial"/>
          <w:b/>
          <w:color w:val="BF5A14"/>
          <w:sz w:val="20"/>
        </w:rPr>
      </w:pPr>
      <w:r w:rsidRPr="00DD077F">
        <w:rPr>
          <w:b/>
          <w:color w:val="BF5A14"/>
          <w:sz w:val="18"/>
          <w:szCs w:val="18"/>
        </w:rPr>
        <w:fldChar w:fldCharType="end"/>
      </w:r>
      <w:r w:rsidR="005973B9">
        <w:rPr>
          <w:rFonts w:ascii="Arial"/>
          <w:b/>
          <w:color w:val="BF5A14"/>
          <w:sz w:val="20"/>
        </w:rPr>
        <w:br/>
      </w:r>
    </w:p>
    <w:p w:rsidR="00A93577" w:rsidRDefault="00A93577" w:rsidP="005973B9">
      <w:pPr>
        <w:spacing w:line="204" w:lineRule="exact"/>
        <w:rPr>
          <w:rFonts w:ascii="Arial"/>
          <w:b/>
          <w:color w:val="BF5A14"/>
          <w:sz w:val="20"/>
        </w:rPr>
      </w:pPr>
    </w:p>
    <w:p w:rsidR="00A93577" w:rsidRDefault="00A93577" w:rsidP="005973B9">
      <w:pPr>
        <w:spacing w:line="204" w:lineRule="exact"/>
        <w:rPr>
          <w:rFonts w:ascii="Arial"/>
          <w:b/>
          <w:color w:val="BF5A14"/>
          <w:sz w:val="20"/>
        </w:rPr>
      </w:pPr>
    </w:p>
    <w:p w:rsidR="00A93577" w:rsidRDefault="00A93577" w:rsidP="005973B9">
      <w:pPr>
        <w:spacing w:line="204" w:lineRule="exact"/>
        <w:rPr>
          <w:rFonts w:ascii="Arial"/>
          <w:b/>
          <w:color w:val="BF5A14"/>
          <w:sz w:val="20"/>
        </w:rPr>
      </w:pPr>
    </w:p>
    <w:p w:rsidR="00A93577" w:rsidRDefault="00A93577" w:rsidP="005973B9">
      <w:pPr>
        <w:spacing w:line="204" w:lineRule="exact"/>
        <w:rPr>
          <w:rFonts w:ascii="Arial"/>
          <w:b/>
          <w:color w:val="BF5A14"/>
          <w:sz w:val="20"/>
        </w:rPr>
      </w:pPr>
    </w:p>
    <w:p w:rsidR="00A93577" w:rsidRDefault="00A93577" w:rsidP="005973B9">
      <w:pPr>
        <w:spacing w:line="204" w:lineRule="exact"/>
        <w:rPr>
          <w:rFonts w:ascii="Arial"/>
          <w:b/>
          <w:color w:val="BF5A14"/>
          <w:sz w:val="20"/>
        </w:rPr>
      </w:pPr>
    </w:p>
    <w:p w:rsidR="00A93577" w:rsidRDefault="00A93577" w:rsidP="005973B9">
      <w:pPr>
        <w:spacing w:line="204" w:lineRule="exact"/>
        <w:rPr>
          <w:rFonts w:ascii="Arial"/>
          <w:b/>
          <w:color w:val="BF5A14"/>
          <w:sz w:val="20"/>
        </w:rPr>
      </w:pPr>
    </w:p>
    <w:p w:rsidR="00A93577" w:rsidRDefault="00A93577" w:rsidP="005973B9">
      <w:pPr>
        <w:spacing w:line="204" w:lineRule="exact"/>
        <w:rPr>
          <w:rFonts w:ascii="Arial"/>
          <w:b/>
          <w:color w:val="BF5A14"/>
          <w:sz w:val="20"/>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BC3206">
      <w:pPr>
        <w:pStyle w:val="Corpsdetexte"/>
        <w:rPr>
          <w:rFonts w:ascii="Calibri"/>
          <w:b/>
          <w:sz w:val="20"/>
        </w:rPr>
      </w:pPr>
      <w:bookmarkStart w:id="0" w:name="_GoBack"/>
      <w:r>
        <w:rPr>
          <w:noProof/>
        </w:rPr>
        <w:drawing>
          <wp:anchor distT="0" distB="0" distL="114300" distR="114300" simplePos="0" relativeHeight="251663872" behindDoc="1" locked="0" layoutInCell="1" allowOverlap="1">
            <wp:simplePos x="0" y="0"/>
            <wp:positionH relativeFrom="column">
              <wp:posOffset>139700</wp:posOffset>
            </wp:positionH>
            <wp:positionV relativeFrom="paragraph">
              <wp:posOffset>157480</wp:posOffset>
            </wp:positionV>
            <wp:extent cx="875372" cy="972000"/>
            <wp:effectExtent l="0" t="0" r="1270" b="0"/>
            <wp:wrapTight wrapText="bothSides">
              <wp:wrapPolygon edited="0">
                <wp:start x="0" y="0"/>
                <wp:lineTo x="0" y="21176"/>
                <wp:lineTo x="21161" y="21176"/>
                <wp:lineTo x="2116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875372" cy="97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r w:rsidR="000436EB">
        <w:rPr>
          <w:rFonts w:ascii="Calibri"/>
          <w:sz w:val="20"/>
        </w:rPr>
        <w:t xml:space="preserve">                </w:t>
      </w: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36C7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
    <w:p w:rsidR="00AE3E37" w:rsidRDefault="00BC3206">
      <w:pPr>
        <w:spacing w:before="41" w:line="154" w:lineRule="exact"/>
        <w:ind w:left="213" w:right="231"/>
        <w:jc w:val="both"/>
        <w:rPr>
          <w:rFonts w:ascii="Arial"/>
          <w:sz w:val="14"/>
        </w:rPr>
      </w:pPr>
      <w:r w:rsidRPr="00BC3206">
        <w:rPr>
          <w:rFonts w:ascii="Arial"/>
          <w:sz w:val="14"/>
          <w:lang w:val="fr-FR"/>
        </w:rPr>
        <w:t xml:space="preserve">Assia Stiti </w:t>
      </w:r>
      <w:proofErr w:type="spellStart"/>
      <w:r w:rsidRPr="00BC3206">
        <w:rPr>
          <w:rFonts w:ascii="Arial"/>
          <w:sz w:val="14"/>
          <w:lang w:val="fr-FR"/>
        </w:rPr>
        <w:t>is</w:t>
      </w:r>
      <w:proofErr w:type="spellEnd"/>
      <w:r w:rsidRPr="00BC3206">
        <w:rPr>
          <w:rFonts w:ascii="Arial"/>
          <w:sz w:val="14"/>
          <w:lang w:val="fr-FR"/>
        </w:rPr>
        <w:t xml:space="preserve"> a 3rd </w:t>
      </w:r>
      <w:proofErr w:type="spellStart"/>
      <w:r w:rsidRPr="00BC3206">
        <w:rPr>
          <w:rFonts w:ascii="Arial"/>
          <w:sz w:val="14"/>
          <w:lang w:val="fr-FR"/>
        </w:rPr>
        <w:t>year</w:t>
      </w:r>
      <w:proofErr w:type="spellEnd"/>
      <w:r w:rsidRPr="00BC3206">
        <w:rPr>
          <w:rFonts w:ascii="Arial"/>
          <w:sz w:val="14"/>
          <w:lang w:val="fr-FR"/>
        </w:rPr>
        <w:t xml:space="preserve"> of PhD </w:t>
      </w:r>
      <w:proofErr w:type="spellStart"/>
      <w:r w:rsidRPr="00BC3206">
        <w:rPr>
          <w:rFonts w:ascii="Arial"/>
          <w:sz w:val="14"/>
          <w:lang w:val="fr-FR"/>
        </w:rPr>
        <w:t>student</w:t>
      </w:r>
      <w:proofErr w:type="spellEnd"/>
      <w:r w:rsidRPr="00BC3206">
        <w:rPr>
          <w:rFonts w:ascii="Arial"/>
          <w:sz w:val="14"/>
          <w:lang w:val="fr-FR"/>
        </w:rPr>
        <w:t xml:space="preserve"> in the </w:t>
      </w:r>
      <w:proofErr w:type="spellStart"/>
      <w:r w:rsidRPr="00BC3206">
        <w:rPr>
          <w:rFonts w:ascii="Arial"/>
          <w:sz w:val="14"/>
          <w:lang w:val="fr-FR"/>
        </w:rPr>
        <w:t>lab</w:t>
      </w:r>
      <w:proofErr w:type="spellEnd"/>
      <w:r w:rsidRPr="00BC3206">
        <w:rPr>
          <w:rFonts w:ascii="Arial"/>
          <w:sz w:val="14"/>
          <w:lang w:val="fr-FR"/>
        </w:rPr>
        <w:t xml:space="preserve"> of Pr. S</w:t>
      </w:r>
      <w:r w:rsidRPr="00BC3206">
        <w:rPr>
          <w:rFonts w:ascii="Arial"/>
          <w:sz w:val="14"/>
          <w:lang w:val="fr-FR"/>
        </w:rPr>
        <w:t>é</w:t>
      </w:r>
      <w:r w:rsidRPr="00BC3206">
        <w:rPr>
          <w:rFonts w:ascii="Arial"/>
          <w:sz w:val="14"/>
          <w:lang w:val="fr-FR"/>
        </w:rPr>
        <w:t>bastien Lecommandoux at the LCPO (Laboratoire de Chimie des Polym</w:t>
      </w:r>
      <w:r w:rsidRPr="00BC3206">
        <w:rPr>
          <w:rFonts w:ascii="Arial"/>
          <w:sz w:val="14"/>
          <w:lang w:val="fr-FR"/>
        </w:rPr>
        <w:t>è</w:t>
      </w:r>
      <w:r w:rsidRPr="00BC3206">
        <w:rPr>
          <w:rFonts w:ascii="Arial"/>
          <w:sz w:val="14"/>
          <w:lang w:val="fr-FR"/>
        </w:rPr>
        <w:t xml:space="preserve">res Organiques) in Bordeaux, France. The </w:t>
      </w:r>
      <w:proofErr w:type="spellStart"/>
      <w:r w:rsidRPr="00BC3206">
        <w:rPr>
          <w:rFonts w:ascii="Arial"/>
          <w:sz w:val="14"/>
          <w:lang w:val="fr-FR"/>
        </w:rPr>
        <w:t>core</w:t>
      </w:r>
      <w:proofErr w:type="spellEnd"/>
      <w:r w:rsidRPr="00BC3206">
        <w:rPr>
          <w:rFonts w:ascii="Arial"/>
          <w:sz w:val="14"/>
          <w:lang w:val="fr-FR"/>
        </w:rPr>
        <w:t xml:space="preserve"> of the </w:t>
      </w:r>
      <w:proofErr w:type="spellStart"/>
      <w:r w:rsidRPr="00BC3206">
        <w:rPr>
          <w:rFonts w:ascii="Arial"/>
          <w:sz w:val="14"/>
          <w:lang w:val="fr-FR"/>
        </w:rPr>
        <w:t>laboratory's</w:t>
      </w:r>
      <w:proofErr w:type="spellEnd"/>
      <w:r w:rsidRPr="00BC3206">
        <w:rPr>
          <w:rFonts w:ascii="Arial"/>
          <w:sz w:val="14"/>
          <w:lang w:val="fr-FR"/>
        </w:rPr>
        <w:t xml:space="preserve"> </w:t>
      </w:r>
      <w:proofErr w:type="spellStart"/>
      <w:r w:rsidRPr="00BC3206">
        <w:rPr>
          <w:rFonts w:ascii="Arial"/>
          <w:sz w:val="14"/>
          <w:lang w:val="fr-FR"/>
        </w:rPr>
        <w:t>activities</w:t>
      </w:r>
      <w:proofErr w:type="spellEnd"/>
      <w:r w:rsidRPr="00BC3206">
        <w:rPr>
          <w:rFonts w:ascii="Arial"/>
          <w:sz w:val="14"/>
          <w:lang w:val="fr-FR"/>
        </w:rPr>
        <w:t xml:space="preserve"> </w:t>
      </w:r>
      <w:proofErr w:type="spellStart"/>
      <w:r w:rsidRPr="00BC3206">
        <w:rPr>
          <w:rFonts w:ascii="Arial"/>
          <w:sz w:val="14"/>
          <w:lang w:val="fr-FR"/>
        </w:rPr>
        <w:t>is</w:t>
      </w:r>
      <w:proofErr w:type="spellEnd"/>
      <w:r w:rsidRPr="00BC3206">
        <w:rPr>
          <w:rFonts w:ascii="Arial"/>
          <w:sz w:val="14"/>
          <w:lang w:val="fr-FR"/>
        </w:rPr>
        <w:t xml:space="preserve"> the </w:t>
      </w:r>
      <w:proofErr w:type="spellStart"/>
      <w:r w:rsidRPr="00BC3206">
        <w:rPr>
          <w:rFonts w:ascii="Arial"/>
          <w:sz w:val="14"/>
          <w:lang w:val="fr-FR"/>
        </w:rPr>
        <w:t>study</w:t>
      </w:r>
      <w:proofErr w:type="spellEnd"/>
      <w:r w:rsidRPr="00BC3206">
        <w:rPr>
          <w:rFonts w:ascii="Arial"/>
          <w:sz w:val="14"/>
          <w:lang w:val="fr-FR"/>
        </w:rPr>
        <w:t xml:space="preserve"> of </w:t>
      </w:r>
      <w:proofErr w:type="spellStart"/>
      <w:r w:rsidRPr="00BC3206">
        <w:rPr>
          <w:rFonts w:ascii="Arial"/>
          <w:sz w:val="14"/>
          <w:lang w:val="fr-FR"/>
        </w:rPr>
        <w:t>polymerization</w:t>
      </w:r>
      <w:proofErr w:type="spellEnd"/>
      <w:r w:rsidRPr="00BC3206">
        <w:rPr>
          <w:rFonts w:ascii="Arial"/>
          <w:sz w:val="14"/>
          <w:lang w:val="fr-FR"/>
        </w:rPr>
        <w:t xml:space="preserve"> </w:t>
      </w:r>
      <w:proofErr w:type="spellStart"/>
      <w:r w:rsidRPr="00BC3206">
        <w:rPr>
          <w:rFonts w:ascii="Arial"/>
          <w:sz w:val="14"/>
          <w:lang w:val="fr-FR"/>
        </w:rPr>
        <w:t>reactions</w:t>
      </w:r>
      <w:proofErr w:type="spellEnd"/>
      <w:r w:rsidRPr="00BC3206">
        <w:rPr>
          <w:rFonts w:ascii="Arial"/>
          <w:sz w:val="14"/>
          <w:lang w:val="fr-FR"/>
        </w:rPr>
        <w:t xml:space="preserve"> and the </w:t>
      </w:r>
      <w:proofErr w:type="spellStart"/>
      <w:r w:rsidRPr="00BC3206">
        <w:rPr>
          <w:rFonts w:ascii="Arial"/>
          <w:sz w:val="14"/>
          <w:lang w:val="fr-FR"/>
        </w:rPr>
        <w:t>development</w:t>
      </w:r>
      <w:proofErr w:type="spellEnd"/>
      <w:r w:rsidRPr="00BC3206">
        <w:rPr>
          <w:rFonts w:ascii="Arial"/>
          <w:sz w:val="14"/>
          <w:lang w:val="fr-FR"/>
        </w:rPr>
        <w:t xml:space="preserve"> of </w:t>
      </w:r>
      <w:proofErr w:type="spellStart"/>
      <w:r w:rsidRPr="00BC3206">
        <w:rPr>
          <w:rFonts w:ascii="Arial"/>
          <w:sz w:val="14"/>
          <w:lang w:val="fr-FR"/>
        </w:rPr>
        <w:t>innovative</w:t>
      </w:r>
      <w:proofErr w:type="spellEnd"/>
      <w:r w:rsidRPr="00BC3206">
        <w:rPr>
          <w:rFonts w:ascii="Arial"/>
          <w:sz w:val="14"/>
          <w:lang w:val="fr-FR"/>
        </w:rPr>
        <w:t xml:space="preserve"> </w:t>
      </w:r>
      <w:proofErr w:type="spellStart"/>
      <w:r w:rsidRPr="00BC3206">
        <w:rPr>
          <w:rFonts w:ascii="Arial"/>
          <w:sz w:val="14"/>
          <w:lang w:val="fr-FR"/>
        </w:rPr>
        <w:t>methodologies</w:t>
      </w:r>
      <w:proofErr w:type="spellEnd"/>
      <w:r w:rsidRPr="00BC3206">
        <w:rPr>
          <w:rFonts w:ascii="Arial"/>
          <w:sz w:val="14"/>
          <w:lang w:val="fr-FR"/>
        </w:rPr>
        <w:t xml:space="preserve"> in </w:t>
      </w:r>
      <w:proofErr w:type="spellStart"/>
      <w:r w:rsidRPr="00BC3206">
        <w:rPr>
          <w:rFonts w:ascii="Arial"/>
          <w:sz w:val="14"/>
          <w:lang w:val="fr-FR"/>
        </w:rPr>
        <w:t>chemistry</w:t>
      </w:r>
      <w:proofErr w:type="spellEnd"/>
      <w:r w:rsidRPr="00BC3206">
        <w:rPr>
          <w:rFonts w:ascii="Arial"/>
          <w:sz w:val="14"/>
          <w:lang w:val="fr-FR"/>
        </w:rPr>
        <w:t xml:space="preserve">, </w:t>
      </w:r>
      <w:proofErr w:type="spellStart"/>
      <w:r w:rsidRPr="00BC3206">
        <w:rPr>
          <w:rFonts w:ascii="Arial"/>
          <w:sz w:val="14"/>
          <w:lang w:val="fr-FR"/>
        </w:rPr>
        <w:t>chemical</w:t>
      </w:r>
      <w:proofErr w:type="spellEnd"/>
      <w:r w:rsidRPr="00BC3206">
        <w:rPr>
          <w:rFonts w:ascii="Arial"/>
          <w:sz w:val="14"/>
          <w:lang w:val="fr-FR"/>
        </w:rPr>
        <w:t xml:space="preserve"> engineering and </w:t>
      </w:r>
      <w:proofErr w:type="spellStart"/>
      <w:r w:rsidRPr="00BC3206">
        <w:rPr>
          <w:rFonts w:ascii="Arial"/>
          <w:sz w:val="14"/>
          <w:lang w:val="fr-FR"/>
        </w:rPr>
        <w:t>physical</w:t>
      </w:r>
      <w:proofErr w:type="spellEnd"/>
      <w:r w:rsidRPr="00BC3206">
        <w:rPr>
          <w:rFonts w:ascii="Arial"/>
          <w:sz w:val="14"/>
          <w:lang w:val="fr-FR"/>
        </w:rPr>
        <w:t xml:space="preserve"> </w:t>
      </w:r>
      <w:proofErr w:type="spellStart"/>
      <w:r w:rsidRPr="00BC3206">
        <w:rPr>
          <w:rFonts w:ascii="Arial"/>
          <w:sz w:val="14"/>
          <w:lang w:val="fr-FR"/>
        </w:rPr>
        <w:t>chemistry</w:t>
      </w:r>
      <w:proofErr w:type="spellEnd"/>
      <w:r w:rsidRPr="00BC3206">
        <w:rPr>
          <w:rFonts w:ascii="Arial"/>
          <w:sz w:val="14"/>
          <w:lang w:val="fr-FR"/>
        </w:rPr>
        <w:t xml:space="preserve"> of </w:t>
      </w:r>
      <w:proofErr w:type="spellStart"/>
      <w:r w:rsidRPr="00BC3206">
        <w:rPr>
          <w:rFonts w:ascii="Arial"/>
          <w:sz w:val="14"/>
          <w:lang w:val="fr-FR"/>
        </w:rPr>
        <w:t>polymers</w:t>
      </w:r>
      <w:proofErr w:type="spellEnd"/>
      <w:r w:rsidRPr="00BC3206">
        <w:rPr>
          <w:rFonts w:ascii="Arial"/>
          <w:sz w:val="14"/>
          <w:lang w:val="fr-FR"/>
        </w:rPr>
        <w:t xml:space="preserve">. </w:t>
      </w:r>
      <w:proofErr w:type="spellStart"/>
      <w:r w:rsidRPr="00BC3206">
        <w:rPr>
          <w:rFonts w:ascii="Arial"/>
          <w:sz w:val="14"/>
          <w:lang w:val="fr-FR"/>
        </w:rPr>
        <w:t>Her</w:t>
      </w:r>
      <w:proofErr w:type="spellEnd"/>
      <w:r w:rsidRPr="00BC3206">
        <w:rPr>
          <w:rFonts w:ascii="Arial"/>
          <w:sz w:val="14"/>
          <w:lang w:val="fr-FR"/>
        </w:rPr>
        <w:t xml:space="preserve"> </w:t>
      </w:r>
      <w:proofErr w:type="spellStart"/>
      <w:r w:rsidRPr="00BC3206">
        <w:rPr>
          <w:rFonts w:ascii="Arial"/>
          <w:sz w:val="14"/>
          <w:lang w:val="fr-FR"/>
        </w:rPr>
        <w:t>research</w:t>
      </w:r>
      <w:proofErr w:type="spellEnd"/>
      <w:r w:rsidRPr="00BC3206">
        <w:rPr>
          <w:rFonts w:ascii="Arial"/>
          <w:sz w:val="14"/>
          <w:lang w:val="fr-FR"/>
        </w:rPr>
        <w:t xml:space="preserve"> </w:t>
      </w:r>
      <w:proofErr w:type="spellStart"/>
      <w:r w:rsidRPr="00BC3206">
        <w:rPr>
          <w:rFonts w:ascii="Arial"/>
          <w:sz w:val="14"/>
          <w:lang w:val="fr-FR"/>
        </w:rPr>
        <w:t>project</w:t>
      </w:r>
      <w:proofErr w:type="spellEnd"/>
      <w:r w:rsidRPr="00BC3206">
        <w:rPr>
          <w:rFonts w:ascii="Arial"/>
          <w:sz w:val="14"/>
          <w:lang w:val="fr-FR"/>
        </w:rPr>
        <w:t xml:space="preserve"> </w:t>
      </w:r>
      <w:proofErr w:type="spellStart"/>
      <w:r w:rsidRPr="00BC3206">
        <w:rPr>
          <w:rFonts w:ascii="Arial"/>
          <w:sz w:val="14"/>
          <w:lang w:val="fr-FR"/>
        </w:rPr>
        <w:t>focuses</w:t>
      </w:r>
      <w:proofErr w:type="spellEnd"/>
      <w:r w:rsidRPr="00BC3206">
        <w:rPr>
          <w:rFonts w:ascii="Arial"/>
          <w:sz w:val="14"/>
          <w:lang w:val="fr-FR"/>
        </w:rPr>
        <w:t xml:space="preserve"> on the engineering of </w:t>
      </w:r>
      <w:proofErr w:type="spellStart"/>
      <w:r w:rsidRPr="00BC3206">
        <w:rPr>
          <w:rFonts w:ascii="Arial"/>
          <w:sz w:val="14"/>
          <w:lang w:val="fr-FR"/>
        </w:rPr>
        <w:t>functionalized</w:t>
      </w:r>
      <w:proofErr w:type="spellEnd"/>
      <w:r w:rsidRPr="00BC3206">
        <w:rPr>
          <w:rFonts w:ascii="Arial"/>
          <w:sz w:val="14"/>
          <w:lang w:val="fr-FR"/>
        </w:rPr>
        <w:t xml:space="preserve"> </w:t>
      </w:r>
      <w:proofErr w:type="spellStart"/>
      <w:r w:rsidRPr="00BC3206">
        <w:rPr>
          <w:rFonts w:ascii="Arial"/>
          <w:sz w:val="14"/>
          <w:lang w:val="fr-FR"/>
        </w:rPr>
        <w:t>polymers</w:t>
      </w:r>
      <w:proofErr w:type="spellEnd"/>
      <w:r w:rsidRPr="00BC3206">
        <w:rPr>
          <w:rFonts w:ascii="Arial"/>
          <w:sz w:val="14"/>
          <w:lang w:val="fr-FR"/>
        </w:rPr>
        <w:t xml:space="preserve">, </w:t>
      </w:r>
      <w:proofErr w:type="spellStart"/>
      <w:r w:rsidRPr="00BC3206">
        <w:rPr>
          <w:rFonts w:ascii="Arial"/>
          <w:sz w:val="14"/>
          <w:lang w:val="fr-FR"/>
        </w:rPr>
        <w:t>nanoparticles</w:t>
      </w:r>
      <w:proofErr w:type="spellEnd"/>
      <w:r w:rsidRPr="00BC3206">
        <w:rPr>
          <w:rFonts w:ascii="Arial"/>
          <w:sz w:val="14"/>
          <w:lang w:val="fr-FR"/>
        </w:rPr>
        <w:t xml:space="preserve"> and nanostructures of </w:t>
      </w:r>
      <w:proofErr w:type="spellStart"/>
      <w:r w:rsidRPr="00BC3206">
        <w:rPr>
          <w:rFonts w:ascii="Arial"/>
          <w:sz w:val="14"/>
          <w:lang w:val="fr-FR"/>
        </w:rPr>
        <w:t>controlled</w:t>
      </w:r>
      <w:proofErr w:type="spellEnd"/>
      <w:r w:rsidRPr="00BC3206">
        <w:rPr>
          <w:rFonts w:ascii="Arial"/>
          <w:sz w:val="14"/>
          <w:lang w:val="fr-FR"/>
        </w:rPr>
        <w:t xml:space="preserve"> size and </w:t>
      </w:r>
      <w:proofErr w:type="spellStart"/>
      <w:r w:rsidRPr="00BC3206">
        <w:rPr>
          <w:rFonts w:ascii="Arial"/>
          <w:sz w:val="14"/>
          <w:lang w:val="fr-FR"/>
        </w:rPr>
        <w:t>shape</w:t>
      </w:r>
      <w:proofErr w:type="spellEnd"/>
      <w:r w:rsidRPr="00BC3206">
        <w:rPr>
          <w:rFonts w:ascii="Arial"/>
          <w:sz w:val="14"/>
          <w:lang w:val="fr-FR"/>
        </w:rPr>
        <w:t xml:space="preserve"> for </w:t>
      </w:r>
      <w:proofErr w:type="spellStart"/>
      <w:r w:rsidRPr="00BC3206">
        <w:rPr>
          <w:rFonts w:ascii="Arial"/>
          <w:sz w:val="14"/>
          <w:lang w:val="fr-FR"/>
        </w:rPr>
        <w:t>lubricant</w:t>
      </w:r>
      <w:proofErr w:type="spellEnd"/>
      <w:r w:rsidRPr="00BC3206">
        <w:rPr>
          <w:rFonts w:ascii="Arial"/>
          <w:sz w:val="14"/>
          <w:lang w:val="fr-FR"/>
        </w:rPr>
        <w:t xml:space="preserve"> application. </w:t>
      </w:r>
      <w:proofErr w:type="spellStart"/>
      <w:r w:rsidRPr="00BC3206">
        <w:rPr>
          <w:rFonts w:ascii="Arial"/>
          <w:sz w:val="14"/>
          <w:lang w:val="fr-FR"/>
        </w:rPr>
        <w:t>These</w:t>
      </w:r>
      <w:proofErr w:type="spellEnd"/>
      <w:r w:rsidRPr="00BC3206">
        <w:rPr>
          <w:rFonts w:ascii="Arial"/>
          <w:sz w:val="14"/>
          <w:lang w:val="fr-FR"/>
        </w:rPr>
        <w:t xml:space="preserve"> </w:t>
      </w:r>
      <w:proofErr w:type="spellStart"/>
      <w:r w:rsidRPr="00BC3206">
        <w:rPr>
          <w:rFonts w:ascii="Arial"/>
          <w:sz w:val="14"/>
          <w:lang w:val="fr-FR"/>
        </w:rPr>
        <w:t>researches</w:t>
      </w:r>
      <w:proofErr w:type="spellEnd"/>
      <w:r w:rsidRPr="00BC3206">
        <w:rPr>
          <w:rFonts w:ascii="Arial"/>
          <w:sz w:val="14"/>
          <w:lang w:val="fr-FR"/>
        </w:rPr>
        <w:t xml:space="preserve"> are </w:t>
      </w:r>
      <w:proofErr w:type="spellStart"/>
      <w:r w:rsidRPr="00BC3206">
        <w:rPr>
          <w:rFonts w:ascii="Arial"/>
          <w:sz w:val="14"/>
          <w:lang w:val="fr-FR"/>
        </w:rPr>
        <w:t>motivated</w:t>
      </w:r>
      <w:proofErr w:type="spellEnd"/>
      <w:r w:rsidRPr="00BC3206">
        <w:rPr>
          <w:rFonts w:ascii="Arial"/>
          <w:sz w:val="14"/>
          <w:lang w:val="fr-FR"/>
        </w:rPr>
        <w:t xml:space="preserve"> by the </w:t>
      </w:r>
      <w:proofErr w:type="spellStart"/>
      <w:r w:rsidRPr="00BC3206">
        <w:rPr>
          <w:rFonts w:ascii="Arial"/>
          <w:sz w:val="14"/>
          <w:lang w:val="fr-FR"/>
        </w:rPr>
        <w:t>industrial</w:t>
      </w:r>
      <w:proofErr w:type="spellEnd"/>
      <w:r w:rsidRPr="00BC3206">
        <w:rPr>
          <w:rFonts w:ascii="Arial"/>
          <w:sz w:val="14"/>
          <w:lang w:val="fr-FR"/>
        </w:rPr>
        <w:t xml:space="preserve"> </w:t>
      </w:r>
      <w:proofErr w:type="spellStart"/>
      <w:r w:rsidRPr="00BC3206">
        <w:rPr>
          <w:rFonts w:ascii="Arial"/>
          <w:sz w:val="14"/>
          <w:lang w:val="fr-FR"/>
        </w:rPr>
        <w:t>need</w:t>
      </w:r>
      <w:proofErr w:type="spellEnd"/>
      <w:r w:rsidRPr="00BC3206">
        <w:rPr>
          <w:rFonts w:ascii="Arial"/>
          <w:sz w:val="14"/>
          <w:lang w:val="fr-FR"/>
        </w:rPr>
        <w:t xml:space="preserve"> to </w:t>
      </w:r>
      <w:proofErr w:type="spellStart"/>
      <w:r w:rsidRPr="00BC3206">
        <w:rPr>
          <w:rFonts w:ascii="Arial"/>
          <w:sz w:val="14"/>
          <w:lang w:val="fr-FR"/>
        </w:rPr>
        <w:t>avoid</w:t>
      </w:r>
      <w:proofErr w:type="spellEnd"/>
      <w:r w:rsidRPr="00BC3206">
        <w:rPr>
          <w:rFonts w:ascii="Arial"/>
          <w:sz w:val="14"/>
          <w:lang w:val="fr-FR"/>
        </w:rPr>
        <w:t xml:space="preserve"> high </w:t>
      </w:r>
      <w:proofErr w:type="spellStart"/>
      <w:r w:rsidRPr="00BC3206">
        <w:rPr>
          <w:rFonts w:ascii="Arial"/>
          <w:sz w:val="14"/>
          <w:lang w:val="fr-FR"/>
        </w:rPr>
        <w:t>temperature</w:t>
      </w:r>
      <w:proofErr w:type="spellEnd"/>
      <w:r w:rsidRPr="00BC3206">
        <w:rPr>
          <w:rFonts w:ascii="Arial"/>
          <w:sz w:val="14"/>
          <w:lang w:val="fr-FR"/>
        </w:rPr>
        <w:t xml:space="preserve"> and use of </w:t>
      </w:r>
      <w:proofErr w:type="spellStart"/>
      <w:r w:rsidRPr="00BC3206">
        <w:rPr>
          <w:rFonts w:ascii="Arial"/>
          <w:sz w:val="14"/>
          <w:lang w:val="fr-FR"/>
        </w:rPr>
        <w:t>metals</w:t>
      </w:r>
      <w:proofErr w:type="spellEnd"/>
      <w:r w:rsidRPr="00BC3206">
        <w:rPr>
          <w:rFonts w:ascii="Arial"/>
          <w:sz w:val="14"/>
          <w:lang w:val="fr-FR"/>
        </w:rPr>
        <w:t xml:space="preserve">, </w:t>
      </w:r>
      <w:proofErr w:type="spellStart"/>
      <w:r w:rsidRPr="00BC3206">
        <w:rPr>
          <w:rFonts w:ascii="Arial"/>
          <w:sz w:val="14"/>
          <w:lang w:val="fr-FR"/>
        </w:rPr>
        <w:t>sulfur</w:t>
      </w:r>
      <w:proofErr w:type="spellEnd"/>
      <w:r w:rsidRPr="00BC3206">
        <w:rPr>
          <w:rFonts w:ascii="Arial"/>
          <w:sz w:val="14"/>
          <w:lang w:val="fr-FR"/>
        </w:rPr>
        <w:t xml:space="preserve"> or </w:t>
      </w:r>
      <w:proofErr w:type="spellStart"/>
      <w:r w:rsidRPr="00BC3206">
        <w:rPr>
          <w:rFonts w:ascii="Arial"/>
          <w:sz w:val="14"/>
          <w:lang w:val="fr-FR"/>
        </w:rPr>
        <w:t>halogenated</w:t>
      </w:r>
      <w:proofErr w:type="spellEnd"/>
      <w:r w:rsidRPr="00BC3206">
        <w:rPr>
          <w:rFonts w:ascii="Arial"/>
          <w:sz w:val="14"/>
          <w:lang w:val="fr-FR"/>
        </w:rPr>
        <w:t xml:space="preserve"> compounds.</w:t>
      </w:r>
    </w:p>
    <w:p w:rsidR="00AE3E37" w:rsidRDefault="00A9710C">
      <w:pPr>
        <w:spacing w:before="62"/>
        <w:ind w:left="4217" w:right="4235"/>
        <w:jc w:val="center"/>
        <w:rPr>
          <w:rFonts w:ascii="Arial"/>
          <w:sz w:val="14"/>
        </w:rPr>
      </w:pPr>
      <w:r>
        <w:rPr>
          <w:rFonts w:ascii="Arial"/>
          <w:sz w:val="14"/>
        </w:rPr>
        <w:t xml:space="preserve">Email: </w:t>
      </w:r>
      <w:hyperlink r:id="rId12" w:history="1">
        <w:r w:rsidR="00A93577" w:rsidRPr="000166E9">
          <w:rPr>
            <w:rStyle w:val="Lienhypertexte"/>
            <w:rFonts w:ascii="Arial"/>
            <w:sz w:val="14"/>
          </w:rPr>
          <w:t>stitiassia@gmail.com</w:t>
        </w:r>
      </w:hyperlink>
    </w:p>
    <w:p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A63F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2C9" w:rsidRDefault="004D12C9">
      <w:r>
        <w:separator/>
      </w:r>
    </w:p>
  </w:endnote>
  <w:endnote w:type="continuationSeparator" w:id="0">
    <w:p w:rsidR="004D12C9" w:rsidRDefault="004D1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59D" w:rsidRDefault="002D359D">
    <w:pPr>
      <w:pStyle w:val="Corpsdetexte"/>
      <w:spacing w:line="14" w:lineRule="auto"/>
      <w:rPr>
        <w:sz w:val="20"/>
      </w:rPr>
    </w:pPr>
    <w:r>
      <w:rPr>
        <w:noProof/>
      </w:rPr>
      <mc:AlternateContent>
        <mc:Choice Requires="wps">
          <w:drawing>
            <wp:anchor distT="0" distB="0" distL="114300" distR="114300" simplePos="0" relativeHeight="25166899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359D" w:rsidRPr="005B3A56" w:rsidRDefault="002D359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D359D" w:rsidRPr="005B3A56" w:rsidRDefault="002D359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2D359D" w:rsidRPr="005B3A56" w:rsidRDefault="002D359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D359D" w:rsidRPr="005B3A56" w:rsidRDefault="002D359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2C9" w:rsidRDefault="004D12C9">
      <w:r>
        <w:separator/>
      </w:r>
    </w:p>
  </w:footnote>
  <w:footnote w:type="continuationSeparator" w:id="0">
    <w:p w:rsidR="004D12C9" w:rsidRDefault="004D1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59D" w:rsidRDefault="002D359D">
    <w:pPr>
      <w:pStyle w:val="Corpsdetexte"/>
      <w:spacing w:line="14" w:lineRule="auto"/>
      <w:rPr>
        <w:sz w:val="20"/>
      </w:rPr>
    </w:pPr>
    <w:r>
      <w:rPr>
        <w:noProof/>
      </w:rPr>
      <mc:AlternateContent>
        <mc:Choice Requires="wps">
          <w:drawing>
            <wp:anchor distT="0" distB="0" distL="114300" distR="114300" simplePos="0" relativeHeight="25166387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359D" w:rsidRPr="005B3A56" w:rsidRDefault="002D359D">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D359D" w:rsidRPr="005B3A56" w:rsidRDefault="002D359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2D359D" w:rsidRPr="005B3A56" w:rsidRDefault="002D359D">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D359D" w:rsidRPr="005B3A56" w:rsidRDefault="002D359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36EB"/>
    <w:rsid w:val="000E2911"/>
    <w:rsid w:val="001050DA"/>
    <w:rsid w:val="001263DF"/>
    <w:rsid w:val="001B299C"/>
    <w:rsid w:val="001E763C"/>
    <w:rsid w:val="00292ED9"/>
    <w:rsid w:val="002D359D"/>
    <w:rsid w:val="00314AFB"/>
    <w:rsid w:val="003B76D9"/>
    <w:rsid w:val="00404E5B"/>
    <w:rsid w:val="00414F7B"/>
    <w:rsid w:val="004355DC"/>
    <w:rsid w:val="004749B4"/>
    <w:rsid w:val="00494130"/>
    <w:rsid w:val="004D12C9"/>
    <w:rsid w:val="004D2A6B"/>
    <w:rsid w:val="004F3523"/>
    <w:rsid w:val="00506EC8"/>
    <w:rsid w:val="00507B0E"/>
    <w:rsid w:val="005973B9"/>
    <w:rsid w:val="005B3A56"/>
    <w:rsid w:val="006060CE"/>
    <w:rsid w:val="0063497F"/>
    <w:rsid w:val="00776414"/>
    <w:rsid w:val="0078738A"/>
    <w:rsid w:val="00873DF0"/>
    <w:rsid w:val="008756E6"/>
    <w:rsid w:val="008B46B0"/>
    <w:rsid w:val="009B2D44"/>
    <w:rsid w:val="00A07E82"/>
    <w:rsid w:val="00A93577"/>
    <w:rsid w:val="00A9710C"/>
    <w:rsid w:val="00AE3E37"/>
    <w:rsid w:val="00B21A57"/>
    <w:rsid w:val="00B23B52"/>
    <w:rsid w:val="00BC3206"/>
    <w:rsid w:val="00C16E21"/>
    <w:rsid w:val="00C33602"/>
    <w:rsid w:val="00CD6F55"/>
    <w:rsid w:val="00D62425"/>
    <w:rsid w:val="00DD077F"/>
    <w:rsid w:val="00DE3104"/>
    <w:rsid w:val="00F72EEA"/>
    <w:rsid w:val="00F8136A"/>
    <w:rsid w:val="00F84CAE"/>
    <w:rsid w:val="00FA7A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98BE09-8229-4C58-99A0-A5F89E0BD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Lgende">
    <w:name w:val="caption"/>
    <w:basedOn w:val="Normal"/>
    <w:next w:val="Normal"/>
    <w:uiPriority w:val="35"/>
    <w:unhideWhenUsed/>
    <w:qFormat/>
    <w:rsid w:val="00BC320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007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6396538">
      <w:bodyDiv w:val="1"/>
      <w:marLeft w:val="0"/>
      <w:marRight w:val="0"/>
      <w:marTop w:val="0"/>
      <w:marBottom w:val="0"/>
      <w:divBdr>
        <w:top w:val="none" w:sz="0" w:space="0" w:color="auto"/>
        <w:left w:val="none" w:sz="0" w:space="0" w:color="auto"/>
        <w:bottom w:val="none" w:sz="0" w:space="0" w:color="auto"/>
        <w:right w:val="none" w:sz="0" w:space="0" w:color="auto"/>
      </w:divBdr>
    </w:div>
    <w:div w:id="14141630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itiassi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8F2D4-1F78-4160-8675-EA0E4EA1B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2108</Words>
  <Characters>12017</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Assia STITI</cp:lastModifiedBy>
  <cp:revision>6</cp:revision>
  <dcterms:created xsi:type="dcterms:W3CDTF">2023-04-28T09:48:00Z</dcterms:created>
  <dcterms:modified xsi:type="dcterms:W3CDTF">2023-04-28T11:13:00Z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http://www.zotero.org/styles/angewandte-chemie</vt:lpwstr>
  </property>
  <property fmtid="{D5CDD505-2E9C-101B-9397-08002B2CF9AE}" pid="12" name="Mendeley Recent Style Name 3_1">
    <vt:lpwstr>Angewandte Chemie International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f05fc024-7482-3214-a985-eabe0cf0ffc1</vt:lpwstr>
  </property>
  <property fmtid="{D5CDD505-2E9C-101B-9397-08002B2CF9AE}" pid="27" name="Mendeley Citation Style_1">
    <vt:lpwstr>http://www.zotero.org/styles/angewandte-chemie</vt:lpwstr>
  </property>
</Properties>
</file>