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margin">
              <wp:posOffset>123825</wp:posOffset>
            </wp:positionH>
            <wp:positionV relativeFrom="paragraph">
              <wp:posOffset>114300</wp:posOffset>
            </wp:positionV>
            <wp:extent cx="938517" cy="985838"/>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2400" r="2400" t="0"/>
                    <a:stretch>
                      <a:fillRect/>
                    </a:stretch>
                  </pic:blipFill>
                  <pic:spPr>
                    <a:xfrm>
                      <a:off x="0" y="0"/>
                      <a:ext cx="938517" cy="985838"/>
                    </a:xfrm>
                    <a:prstGeom prst="rect"/>
                    <a:ln/>
                  </pic:spPr>
                </pic:pic>
              </a:graphicData>
            </a:graphic>
          </wp:anchor>
        </w:drawing>
      </w:r>
    </w:p>
    <w:p w:rsidR="00000000" w:rsidDel="00000000" w:rsidP="00000000" w:rsidRDefault="00000000" w:rsidRPr="00000000" w14:paraId="00000001">
      <w:pPr>
        <w:spacing w:line="240" w:lineRule="auto"/>
        <w:contextualSpacing w:val="0"/>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2850848</wp:posOffset>
            </wp:positionH>
            <wp:positionV relativeFrom="paragraph">
              <wp:posOffset>161925</wp:posOffset>
            </wp:positionV>
            <wp:extent cx="2740327" cy="690563"/>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740327" cy="690563"/>
                    </a:xfrm>
                    <a:prstGeom prst="rect"/>
                    <a:ln/>
                  </pic:spPr>
                </pic:pic>
              </a:graphicData>
            </a:graphic>
          </wp:anchor>
        </w:drawing>
      </w:r>
    </w:p>
    <w:p w:rsidR="00000000" w:rsidDel="00000000" w:rsidP="00000000" w:rsidRDefault="00000000" w:rsidRPr="00000000" w14:paraId="00000002">
      <w:pPr>
        <w:spacing w:line="240" w:lineRule="auto"/>
        <w:contextualSpacing w:val="0"/>
        <w:jc w:val="both"/>
        <w:rPr>
          <w:rFonts w:ascii="Times New Roman" w:cs="Times New Roman" w:eastAsia="Times New Roman" w:hAnsi="Times New Roman"/>
          <w:color w:val="ffffff"/>
          <w:sz w:val="24"/>
          <w:szCs w:val="24"/>
        </w:rPr>
      </w:pPr>
      <w:r w:rsidDel="00000000" w:rsidR="00000000" w:rsidRPr="00000000">
        <w:rPr>
          <w:rtl w:val="0"/>
        </w:rPr>
      </w:r>
    </w:p>
    <w:p w:rsidR="00000000" w:rsidDel="00000000" w:rsidP="00000000" w:rsidRDefault="00000000" w:rsidRPr="00000000" w14:paraId="00000003">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Water remediation by incorporation of plasma synthesized NPs into PVA electrospun membranes</w:t>
      </w:r>
    </w:p>
    <w:p w:rsidR="00000000" w:rsidDel="00000000" w:rsidP="00000000" w:rsidRDefault="00000000" w:rsidRPr="00000000" w14:paraId="00000009">
      <w:pPr>
        <w:spacing w:line="240" w:lineRule="auto"/>
        <w:contextualSpacing w:val="0"/>
        <w:jc w:val="center"/>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rtl w:val="0"/>
        </w:rPr>
        <w:br w:type="textWrapping"/>
        <w:t xml:space="preserve">Nicolás Torasso</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Federico Trupp</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Jonathan Cimadoro</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Gerardo Rubiolo</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 Diana Grondona</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 Silvia Goyanes</w:t>
      </w:r>
      <w:r w:rsidDel="00000000" w:rsidR="00000000" w:rsidRPr="00000000">
        <w:rPr>
          <w:rFonts w:ascii="Times New Roman" w:cs="Times New Roman" w:eastAsia="Times New Roman" w:hAnsi="Times New Roman"/>
          <w:sz w:val="24"/>
          <w:szCs w:val="24"/>
          <w:vertAlign w:val="superscript"/>
          <w:rtl w:val="0"/>
        </w:rPr>
        <w:t xml:space="preserve">1</w:t>
      </w:r>
    </w:p>
    <w:p w:rsidR="00000000" w:rsidDel="00000000" w:rsidP="00000000" w:rsidRDefault="00000000" w:rsidRPr="00000000" w14:paraId="0000000A">
      <w:pPr>
        <w:spacing w:line="240" w:lineRule="auto"/>
        <w:contextualSpacing w:val="0"/>
        <w:jc w:val="center"/>
        <w:rPr>
          <w:rFonts w:ascii="Times New Roman" w:cs="Times New Roman" w:eastAsia="Times New Roman" w:hAnsi="Times New Roman"/>
          <w:sz w:val="24"/>
          <w:szCs w:val="24"/>
          <w:vertAlign w:val="superscript"/>
        </w:rPr>
      </w:pPr>
      <w:r w:rsidDel="00000000" w:rsidR="00000000" w:rsidRPr="00000000">
        <w:rPr>
          <w:rtl w:val="0"/>
        </w:rPr>
      </w:r>
    </w:p>
    <w:p w:rsidR="00000000" w:rsidDel="00000000" w:rsidP="00000000" w:rsidRDefault="00000000" w:rsidRPr="00000000" w14:paraId="0000000B">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Universidad de Buenos Aires, Facultad de Ciencias Exactas y Naturales, Departamento de Física, Laboratorio de Polímeros y Materiales Compuestos (LP&amp;MC), Instituto de Física de Buenos Aires (IFIBA-CONICET), Argentina</w:t>
      </w:r>
    </w:p>
    <w:p w:rsidR="00000000" w:rsidDel="00000000" w:rsidP="00000000" w:rsidRDefault="00000000" w:rsidRPr="00000000" w14:paraId="0000000C">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Gerencia Materiales, Comisión Nacional de Energía Atómica (CNEA), San Martín, Buenos Aires, Argentina.</w:t>
      </w:r>
    </w:p>
    <w:p w:rsidR="00000000" w:rsidDel="00000000" w:rsidP="00000000" w:rsidRDefault="00000000" w:rsidRPr="00000000" w14:paraId="0000000D">
      <w:pPr>
        <w:spacing w:line="276" w:lineRule="auto"/>
        <w:contextualSpacing w:val="0"/>
        <w:rPr>
          <w:rFonts w:ascii="Times New Roman" w:cs="Times New Roman" w:eastAsia="Times New Roman" w:hAnsi="Times New Roman"/>
          <w:sz w:val="24"/>
          <w:szCs w:val="24"/>
          <w:vertAlign w:val="superscript"/>
        </w:rPr>
      </w:pP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Universidad de Buenos Aires, Instituto de Física del Plasma (INFIP-CONICET), Argentina.</w:t>
      </w:r>
      <w:r w:rsidDel="00000000" w:rsidR="00000000" w:rsidRPr="00000000">
        <w:rPr>
          <w:rtl w:val="0"/>
        </w:rPr>
      </w:r>
    </w:p>
    <w:p w:rsidR="00000000" w:rsidDel="00000000" w:rsidP="00000000" w:rsidRDefault="00000000" w:rsidRPr="00000000" w14:paraId="0000000E">
      <w:pPr>
        <w:spacing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40" w:lineRule="auto"/>
        <w:contextualSpacing w:val="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color w:val="0000ff"/>
          <w:sz w:val="24"/>
          <w:szCs w:val="24"/>
          <w:rtl w:val="0"/>
        </w:rPr>
        <w:br w:type="textWrapping"/>
      </w:r>
      <w:r w:rsidDel="00000000" w:rsidR="00000000" w:rsidRPr="00000000">
        <w:rPr>
          <w:rFonts w:ascii="Times New Roman" w:cs="Times New Roman" w:eastAsia="Times New Roman" w:hAnsi="Times New Roman"/>
          <w:b w:val="1"/>
          <w:sz w:val="24"/>
          <w:szCs w:val="24"/>
          <w:u w:val="single"/>
          <w:rtl w:val="0"/>
        </w:rPr>
        <w:t xml:space="preserve">Abstract</w:t>
        <w:br w:type="textWrapping"/>
      </w:r>
    </w:p>
    <w:p w:rsidR="00000000" w:rsidDel="00000000" w:rsidP="00000000" w:rsidRDefault="00000000" w:rsidRPr="00000000" w14:paraId="00000010">
      <w:pPr>
        <w:spacing w:line="240" w:lineRule="auto"/>
        <w:contextualSpacing w:val="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One of nowadays technological challenges is the absence of efficient and economic materials capable of removing organic water contaminants at levels below the maximum allowed by international control organisms. </w:t>
      </w:r>
      <w:r w:rsidDel="00000000" w:rsidR="00000000" w:rsidRPr="00000000">
        <w:rPr>
          <w:rFonts w:ascii="Calibri" w:cs="Calibri" w:eastAsia="Calibri" w:hAnsi="Calibri"/>
          <w:sz w:val="24"/>
          <w:szCs w:val="24"/>
          <w:rtl w:val="0"/>
        </w:rPr>
        <w:t xml:space="preserve">The use of nanostructured membranes modified with active components are promising in this sense, because they notably increase the probability of the contaminant being adsorbed on its surface (compared to other non-nanostructured materials).</w:t>
      </w:r>
      <w:r w:rsidDel="00000000" w:rsidR="00000000" w:rsidRPr="00000000">
        <w:rPr>
          <w:rFonts w:ascii="Calibri" w:cs="Calibri" w:eastAsia="Calibri" w:hAnsi="Calibri"/>
          <w:sz w:val="24"/>
          <w:szCs w:val="24"/>
          <w:rtl w:val="0"/>
        </w:rPr>
        <w:t xml:space="preserve"> In particular, </w:t>
      </w:r>
      <w:r w:rsidDel="00000000" w:rsidR="00000000" w:rsidRPr="00000000">
        <w:rPr>
          <w:rFonts w:ascii="Calibri" w:cs="Calibri" w:eastAsia="Calibri" w:hAnsi="Calibri"/>
          <w:sz w:val="24"/>
          <w:szCs w:val="24"/>
          <w:rtl w:val="0"/>
        </w:rPr>
        <w:t xml:space="preserve">electrospinning technique allows the production of</w:t>
      </w:r>
      <w:r w:rsidDel="00000000" w:rsidR="00000000" w:rsidRPr="00000000">
        <w:rPr>
          <w:rFonts w:ascii="Calibri" w:cs="Calibri" w:eastAsia="Calibri" w:hAnsi="Calibri"/>
          <w:sz w:val="24"/>
          <w:szCs w:val="24"/>
          <w:rtl w:val="0"/>
        </w:rPr>
        <w:t xml:space="preserve"> porous membranes made up by a crisscrossed array of polymeric nanofibers. These types of membranes have a relatively high specific surface area compared to those produced by other methods and they also can be modified in different ways for specific purposes. In this work, water decontamination was achieved by incorporating </w:t>
      </w:r>
      <w:r w:rsidDel="00000000" w:rsidR="00000000" w:rsidRPr="00000000">
        <w:rPr>
          <w:rFonts w:ascii="Calibri" w:cs="Calibri" w:eastAsia="Calibri" w:hAnsi="Calibri"/>
          <w:sz w:val="24"/>
          <w:szCs w:val="24"/>
          <w:rtl w:val="0"/>
        </w:rPr>
        <w:t xml:space="preserve">super-oleophilic nanoparticles (NPs</w:t>
      </w:r>
      <w:r w:rsidDel="00000000" w:rsidR="00000000" w:rsidRPr="00000000">
        <w:rPr>
          <w:rFonts w:ascii="Calibri" w:cs="Calibri" w:eastAsia="Calibri" w:hAnsi="Calibri"/>
          <w:sz w:val="24"/>
          <w:szCs w:val="24"/>
          <w:rtl w:val="0"/>
        </w:rPr>
        <w:t xml:space="preserve">) into electrospun membranes. A solution of water, poly(vinyl alcohol)-PVA and citric acid (crosslinking agent) was electrospun to obtain the membranes, which then were cured to provide water insolubility. Low-pressure plasma polymerized carbonaceous NPs were incorporated into the membranes using a RF capacitively coupled plasma processing reactor. In order to immobilize the NPs, </w:t>
      </w:r>
      <w:r w:rsidDel="00000000" w:rsidR="00000000" w:rsidRPr="00000000">
        <w:rPr>
          <w:rFonts w:ascii="Calibri" w:cs="Calibri" w:eastAsia="Calibri" w:hAnsi="Calibri"/>
          <w:sz w:val="24"/>
          <w:szCs w:val="24"/>
          <w:rtl w:val="0"/>
        </w:rPr>
        <w:t xml:space="preserve">the fibers of the membranes were swelled through water immersion</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Xylene and toluene adsorption, both in static and dynamic conditions, were studied via UV-Vis spectroscopy. It is observed a clear functionality of the membranes as contaminants adsorber, with adsorption of contaminant above 60 mg per gram of membrane (120 mg per gram of adsorbent). Consequently, these membranes may be used in large scale water purification, because of their efficiency and simplicity of the production process. Incorporation of more NPs per unit area and the study of ways to clean and reuse after saturation are some aspects to resolve for a commercial version of the product.</w:t>
      </w:r>
    </w:p>
    <w:p w:rsidR="00000000" w:rsidDel="00000000" w:rsidP="00000000" w:rsidRDefault="00000000" w:rsidRPr="00000000" w14:paraId="00000011">
      <w:pPr>
        <w:spacing w:line="240" w:lineRule="auto"/>
        <w:contextualSpacing w:val="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spacing w:after="160" w:before="120" w:line="240" w:lineRule="auto"/>
        <w:ind w:left="0" w:firstLine="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u w:val="single"/>
          <w:rtl w:val="0"/>
        </w:rPr>
        <w:t xml:space="preserve">Biography</w:t>
      </w:r>
      <w:r w:rsidDel="00000000" w:rsidR="00000000" w:rsidRPr="00000000">
        <w:rPr>
          <w:rtl w:val="0"/>
        </w:rPr>
      </w:r>
    </w:p>
    <w:p w:rsidR="00000000" w:rsidDel="00000000" w:rsidP="00000000" w:rsidRDefault="00000000" w:rsidRPr="00000000" w14:paraId="00000013">
      <w:pPr>
        <w:spacing w:line="240" w:lineRule="auto"/>
        <w:contextualSpacing w:val="0"/>
        <w:jc w:val="both"/>
        <w:rPr>
          <w:rFonts w:ascii="Times New Roman" w:cs="Times New Roman" w:eastAsia="Times New Roman" w:hAnsi="Times New Roman"/>
          <w:sz w:val="24"/>
          <w:szCs w:val="24"/>
        </w:rPr>
      </w:pPr>
      <w:r w:rsidDel="00000000" w:rsidR="00000000" w:rsidRPr="00000000">
        <w:rPr>
          <w:rFonts w:ascii="Times" w:cs="Times" w:eastAsia="Times" w:hAnsi="Times"/>
          <w:sz w:val="24"/>
          <w:szCs w:val="24"/>
          <w:rtl w:val="0"/>
        </w:rPr>
        <w:t xml:space="preserve">Lic. Nicolás Torasso graduated in physics in the University of Buenos Aires and is currently a PhD student in the same institution, under the supervision of Prof. Silvia Goyanes. His work includes the studying and development of electrospun membranes for the remediation of arsenic and VOCs contaminated water. He currently works in the Laboratorio de Polímeros &amp; Materiales Compuestos of the Facultad de Ciencias Exactas y Naturales.</w:t>
      </w:r>
      <w:r w:rsidDel="00000000" w:rsidR="00000000" w:rsidRPr="00000000">
        <w:rPr>
          <w:rFonts w:ascii="Times New Roman" w:cs="Times New Roman" w:eastAsia="Times New Roman" w:hAnsi="Times New Roman"/>
          <w:sz w:val="24"/>
          <w:szCs w:val="24"/>
          <w:rtl w:val="0"/>
        </w:rPr>
        <w:br w:type="textWrapping"/>
      </w:r>
    </w:p>
    <w:p w:rsidR="00000000" w:rsidDel="00000000" w:rsidP="00000000" w:rsidRDefault="00000000" w:rsidRPr="00000000" w14:paraId="00000014">
      <w:pP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Presenting author details</w:t>
      </w:r>
    </w:p>
    <w:p w:rsidR="00000000" w:rsidDel="00000000" w:rsidP="00000000" w:rsidRDefault="00000000" w:rsidRPr="00000000" w14:paraId="00000015">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name:  Federico Trupp</w:t>
      </w:r>
    </w:p>
    <w:p w:rsidR="00000000" w:rsidDel="00000000" w:rsidP="00000000" w:rsidRDefault="00000000" w:rsidRPr="00000000" w14:paraId="00000016">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 name/ number: </w:t>
      </w:r>
    </w:p>
    <w:p w:rsidR="00000000" w:rsidDel="00000000" w:rsidP="00000000" w:rsidRDefault="00000000" w:rsidRPr="00000000" w14:paraId="00000017">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Category: Poster</w:t>
      </w:r>
    </w:p>
    <w:p w:rsidR="00000000" w:rsidDel="00000000" w:rsidP="00000000" w:rsidRDefault="00000000" w:rsidRPr="00000000" w14:paraId="00000018">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id:ftrupp@df.uba.ar</w:t>
      </w:r>
    </w:p>
    <w:p w:rsidR="00000000" w:rsidDel="00000000" w:rsidP="00000000" w:rsidRDefault="00000000" w:rsidRPr="00000000" w14:paraId="00000019">
      <w:pPr>
        <w:spacing w:line="240" w:lineRule="auto"/>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spacing w:line="240" w:lineRule="auto"/>
        <w:contextualSpacing w:val="0"/>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B">
      <w:pPr>
        <w:spacing w:line="276" w:lineRule="auto"/>
        <w:contextualSpacing w:val="0"/>
        <w:jc w:val="center"/>
        <w:rPr>
          <w:rFonts w:ascii="Calibri" w:cs="Calibri" w:eastAsia="Calibri" w:hAnsi="Calibri"/>
          <w:b w:val="1"/>
          <w:sz w:val="26"/>
          <w:szCs w:val="26"/>
        </w:rPr>
      </w:pPr>
      <w:r w:rsidDel="00000000" w:rsidR="00000000" w:rsidRPr="00000000">
        <w:rPr>
          <w:rFonts w:ascii="Calibri" w:cs="Calibri" w:eastAsia="Calibri" w:hAnsi="Calibri"/>
          <w:b w:val="1"/>
          <w:smallCaps w:val="1"/>
          <w:sz w:val="26"/>
          <w:szCs w:val="26"/>
          <w:rtl w:val="0"/>
        </w:rPr>
        <w:t xml:space="preserve">Selective sorbents by means of a combined action of a nanostructured polymer and polymeric fibers</w:t>
      </w:r>
      <w:r w:rsidDel="00000000" w:rsidR="00000000" w:rsidRPr="00000000">
        <w:rPr>
          <w:rtl w:val="0"/>
        </w:rPr>
      </w:r>
    </w:p>
    <w:p w:rsidR="00000000" w:rsidDel="00000000" w:rsidP="00000000" w:rsidRDefault="00000000" w:rsidRPr="00000000" w14:paraId="0000001C">
      <w:pPr>
        <w:spacing w:line="276" w:lineRule="auto"/>
        <w:contextualSpacing w:val="0"/>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N.Torasso</w:t>
      </w:r>
      <w:r w:rsidDel="00000000" w:rsidR="00000000" w:rsidRPr="00000000">
        <w:rPr>
          <w:rFonts w:ascii="Calibri" w:cs="Calibri" w:eastAsia="Calibri" w:hAnsi="Calibri"/>
          <w:b w:val="1"/>
          <w:sz w:val="20"/>
          <w:szCs w:val="20"/>
          <w:vertAlign w:val="superscript"/>
          <w:rtl w:val="0"/>
        </w:rPr>
        <w:t xml:space="preserve">1</w:t>
      </w:r>
      <w:r w:rsidDel="00000000" w:rsidR="00000000" w:rsidRPr="00000000">
        <w:rPr>
          <w:rFonts w:ascii="Calibri" w:cs="Calibri" w:eastAsia="Calibri" w:hAnsi="Calibri"/>
          <w:b w:val="1"/>
          <w:sz w:val="20"/>
          <w:szCs w:val="20"/>
          <w:rtl w:val="0"/>
        </w:rPr>
        <w:t xml:space="preserve">, F. Trupp, D. Grondona</w:t>
      </w:r>
      <w:r w:rsidDel="00000000" w:rsidR="00000000" w:rsidRPr="00000000">
        <w:rPr>
          <w:rFonts w:ascii="Calibri" w:cs="Calibri" w:eastAsia="Calibri" w:hAnsi="Calibri"/>
          <w:b w:val="1"/>
          <w:sz w:val="20"/>
          <w:szCs w:val="20"/>
          <w:vertAlign w:val="superscript"/>
          <w:rtl w:val="0"/>
        </w:rPr>
        <w:t xml:space="preserve">2</w:t>
      </w:r>
      <w:r w:rsidDel="00000000" w:rsidR="00000000" w:rsidRPr="00000000">
        <w:rPr>
          <w:rFonts w:ascii="Calibri" w:cs="Calibri" w:eastAsia="Calibri" w:hAnsi="Calibri"/>
          <w:b w:val="1"/>
          <w:sz w:val="20"/>
          <w:szCs w:val="20"/>
          <w:rtl w:val="0"/>
        </w:rPr>
        <w:t xml:space="preserve">, S. Goyanes</w:t>
      </w:r>
      <w:r w:rsidDel="00000000" w:rsidR="00000000" w:rsidRPr="00000000">
        <w:rPr>
          <w:rFonts w:ascii="Calibri" w:cs="Calibri" w:eastAsia="Calibri" w:hAnsi="Calibri"/>
          <w:b w:val="1"/>
          <w:sz w:val="20"/>
          <w:szCs w:val="20"/>
          <w:vertAlign w:val="superscript"/>
          <w:rtl w:val="0"/>
        </w:rPr>
        <w:t xml:space="preserve">1</w:t>
      </w:r>
      <w:r w:rsidDel="00000000" w:rsidR="00000000" w:rsidRPr="00000000">
        <w:rPr>
          <w:rtl w:val="0"/>
        </w:rPr>
      </w:r>
    </w:p>
    <w:p w:rsidR="00000000" w:rsidDel="00000000" w:rsidP="00000000" w:rsidRDefault="00000000" w:rsidRPr="00000000" w14:paraId="0000001D">
      <w:pPr>
        <w:spacing w:line="276" w:lineRule="auto"/>
        <w:ind w:left="720" w:firstLine="0"/>
        <w:contextualSpacing w:val="0"/>
        <w:rPr>
          <w:rFonts w:ascii="Calibri" w:cs="Calibri" w:eastAsia="Calibri" w:hAnsi="Calibri"/>
          <w:b w:val="1"/>
          <w:sz w:val="18"/>
          <w:szCs w:val="18"/>
        </w:rPr>
      </w:pPr>
      <w:r w:rsidDel="00000000" w:rsidR="00000000" w:rsidRPr="00000000">
        <w:rPr>
          <w:rtl w:val="0"/>
        </w:rPr>
      </w:r>
    </w:p>
    <w:p w:rsidR="00000000" w:rsidDel="00000000" w:rsidP="00000000" w:rsidRDefault="00000000" w:rsidRPr="00000000" w14:paraId="0000001E">
      <w:pPr>
        <w:spacing w:line="276" w:lineRule="auto"/>
        <w:contextualSpacing w:val="0"/>
        <w:rPr>
          <w:rFonts w:ascii="Calibri" w:cs="Calibri" w:eastAsia="Calibri" w:hAnsi="Calibri"/>
          <w:i w:val="1"/>
          <w:sz w:val="18"/>
          <w:szCs w:val="18"/>
        </w:rPr>
      </w:pPr>
      <w:r w:rsidDel="00000000" w:rsidR="00000000" w:rsidRPr="00000000">
        <w:rPr>
          <w:rFonts w:ascii="Calibri" w:cs="Calibri" w:eastAsia="Calibri" w:hAnsi="Calibri"/>
          <w:i w:val="1"/>
          <w:sz w:val="18"/>
          <w:szCs w:val="18"/>
          <w:vertAlign w:val="superscript"/>
          <w:rtl w:val="0"/>
        </w:rPr>
        <w:t xml:space="preserve">1</w:t>
      </w:r>
      <w:r w:rsidDel="00000000" w:rsidR="00000000" w:rsidRPr="00000000">
        <w:rPr>
          <w:rFonts w:ascii="Calibri" w:cs="Calibri" w:eastAsia="Calibri" w:hAnsi="Calibri"/>
          <w:i w:val="1"/>
          <w:sz w:val="18"/>
          <w:szCs w:val="18"/>
          <w:rtl w:val="0"/>
        </w:rPr>
        <w:t xml:space="preserve">Universidad de Buenos Aires, Facultad de Ciencias Exactas y Naturales, Departamento de Física, Laboratorio de Polímeros y Materiales Compuestos (LP&amp;MC), Instituto de Física de Buenos Aires (IFIBA-CONICET), Int Güiraldes 2160 (1428), Ciudad Autónoma de Buenos Aires, Argentina - </w:t>
      </w:r>
      <w:hyperlink r:id="rId8">
        <w:r w:rsidDel="00000000" w:rsidR="00000000" w:rsidRPr="00000000">
          <w:rPr>
            <w:rFonts w:ascii="Calibri" w:cs="Calibri" w:eastAsia="Calibri" w:hAnsi="Calibri"/>
            <w:i w:val="1"/>
            <w:color w:val="0563c1"/>
            <w:sz w:val="18"/>
            <w:szCs w:val="18"/>
            <w:u w:val="single"/>
            <w:rtl w:val="0"/>
          </w:rPr>
          <w:t xml:space="preserve">goyanes@df.uba.ar</w:t>
        </w:r>
      </w:hyperlink>
      <w:r w:rsidDel="00000000" w:rsidR="00000000" w:rsidRPr="00000000">
        <w:rPr>
          <w:rFonts w:ascii="Calibri" w:cs="Calibri" w:eastAsia="Calibri" w:hAnsi="Calibri"/>
          <w:i w:val="1"/>
          <w:sz w:val="18"/>
          <w:szCs w:val="18"/>
          <w:rtl w:val="0"/>
        </w:rPr>
        <w:t xml:space="preserve"> </w:t>
      </w:r>
    </w:p>
    <w:p w:rsidR="00000000" w:rsidDel="00000000" w:rsidP="00000000" w:rsidRDefault="00000000" w:rsidRPr="00000000" w14:paraId="0000001F">
      <w:pPr>
        <w:spacing w:line="276" w:lineRule="auto"/>
        <w:contextualSpacing w:val="0"/>
        <w:rPr>
          <w:rFonts w:ascii="Calibri" w:cs="Calibri" w:eastAsia="Calibri" w:hAnsi="Calibri"/>
          <w:i w:val="1"/>
          <w:sz w:val="18"/>
          <w:szCs w:val="18"/>
          <w:vertAlign w:val="superscript"/>
        </w:rPr>
      </w:pPr>
      <w:r w:rsidDel="00000000" w:rsidR="00000000" w:rsidRPr="00000000">
        <w:rPr>
          <w:rFonts w:ascii="Calibri" w:cs="Calibri" w:eastAsia="Calibri" w:hAnsi="Calibri"/>
          <w:i w:val="1"/>
          <w:sz w:val="18"/>
          <w:szCs w:val="18"/>
          <w:vertAlign w:val="superscript"/>
          <w:rtl w:val="0"/>
        </w:rPr>
        <w:t xml:space="preserve">2</w:t>
      </w:r>
      <w:r w:rsidDel="00000000" w:rsidR="00000000" w:rsidRPr="00000000">
        <w:rPr>
          <w:rFonts w:ascii="Calibri" w:cs="Calibri" w:eastAsia="Calibri" w:hAnsi="Calibri"/>
          <w:i w:val="1"/>
          <w:sz w:val="18"/>
          <w:szCs w:val="18"/>
          <w:rtl w:val="0"/>
        </w:rPr>
        <w:t xml:space="preserve">Universidad de Buenos Aires, Instituto de Física del Plasma (INFIP-CONICET). Int Güiraldes 2160 (1428), Ciudad Autónoma de Buenos Aires, Argentina.</w:t>
      </w:r>
      <w:r w:rsidDel="00000000" w:rsidR="00000000" w:rsidRPr="00000000">
        <w:rPr>
          <w:rtl w:val="0"/>
        </w:rPr>
      </w:r>
    </w:p>
    <w:p w:rsidR="00000000" w:rsidDel="00000000" w:rsidP="00000000" w:rsidRDefault="00000000" w:rsidRPr="00000000" w14:paraId="00000020">
      <w:pPr>
        <w:spacing w:line="276" w:lineRule="auto"/>
        <w:contextualSpacing w:val="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1">
      <w:pPr>
        <w:spacing w:line="276" w:lineRule="auto"/>
        <w:contextualSpacing w:val="0"/>
        <w:jc w:val="both"/>
        <w:rPr>
          <w:rFonts w:ascii="Calibri" w:cs="Calibri" w:eastAsia="Calibri" w:hAnsi="Calibri"/>
          <w:b w:val="1"/>
          <w:smallCaps w:val="1"/>
          <w:sz w:val="20"/>
          <w:szCs w:val="20"/>
        </w:rPr>
      </w:pPr>
      <w:r w:rsidDel="00000000" w:rsidR="00000000" w:rsidRPr="00000000">
        <w:rPr>
          <w:rFonts w:ascii="Calibri" w:cs="Calibri" w:eastAsia="Calibri" w:hAnsi="Calibri"/>
          <w:b w:val="1"/>
          <w:smallCaps w:val="1"/>
          <w:sz w:val="20"/>
          <w:szCs w:val="20"/>
          <w:rtl w:val="0"/>
        </w:rPr>
        <w:t xml:space="preserve">Abstract</w:t>
      </w:r>
    </w:p>
    <w:p w:rsidR="00000000" w:rsidDel="00000000" w:rsidP="00000000" w:rsidRDefault="00000000" w:rsidRPr="00000000" w14:paraId="00000022">
      <w:pPr>
        <w:spacing w:line="276" w:lineRule="auto"/>
        <w:contextualSpacing w:val="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Selective sorbents are used in mixtures of liquids to extract only some of them. In this work, light weighted sorbents were produced by the combination of a porous polypropylene membrane treated in a radio-frequency plasma reactor and various polymeric fills. A submersion test was performed to characterize the sorbents, which consist in their submersion in the liquid and a posterior draining by gravity. A maximum absorbance of 50 was achieved for a fill density of 4.7 kg/m</w:t>
      </w:r>
      <w:r w:rsidDel="00000000" w:rsidR="00000000" w:rsidRPr="00000000">
        <w:rPr>
          <w:rFonts w:ascii="Calibri" w:cs="Calibri" w:eastAsia="Calibri" w:hAnsi="Calibri"/>
          <w:sz w:val="18"/>
          <w:szCs w:val="18"/>
          <w:vertAlign w:val="superscript"/>
          <w:rtl w:val="0"/>
        </w:rPr>
        <w:t xml:space="preserve">3</w:t>
      </w:r>
      <w:r w:rsidDel="00000000" w:rsidR="00000000" w:rsidRPr="00000000">
        <w:rPr>
          <w:rFonts w:ascii="Calibri" w:cs="Calibri" w:eastAsia="Calibri" w:hAnsi="Calibri"/>
          <w:sz w:val="18"/>
          <w:szCs w:val="18"/>
          <w:rtl w:val="0"/>
        </w:rPr>
        <w:t xml:space="preserve">, dropping with increasing values.</w:t>
      </w:r>
    </w:p>
    <w:p w:rsidR="00000000" w:rsidDel="00000000" w:rsidP="00000000" w:rsidRDefault="00000000" w:rsidRPr="00000000" w14:paraId="00000023">
      <w:pPr>
        <w:spacing w:line="276" w:lineRule="auto"/>
        <w:contextualSpacing w:val="0"/>
        <w:jc w:val="both"/>
        <w:rPr>
          <w:rFonts w:ascii="Calibri" w:cs="Calibri" w:eastAsia="Calibri" w:hAnsi="Calibri"/>
          <w:sz w:val="18"/>
          <w:szCs w:val="18"/>
        </w:rPr>
        <w:sectPr>
          <w:pgSz w:h="16834" w:w="11909"/>
          <w:pgMar w:bottom="1440" w:top="1440" w:left="1440" w:right="1440" w:header="0" w:footer="720"/>
          <w:pgNumType w:start="1"/>
        </w:sectPr>
      </w:pPr>
      <w:r w:rsidDel="00000000" w:rsidR="00000000" w:rsidRPr="00000000">
        <w:rPr>
          <w:rtl w:val="0"/>
        </w:rPr>
      </w:r>
    </w:p>
    <w:p w:rsidR="00000000" w:rsidDel="00000000" w:rsidP="00000000" w:rsidRDefault="00000000" w:rsidRPr="00000000" w14:paraId="00000024">
      <w:pPr>
        <w:numPr>
          <w:ilvl w:val="0"/>
          <w:numId w:val="2"/>
        </w:numPr>
        <w:spacing w:line="276" w:lineRule="auto"/>
        <w:ind w:left="284"/>
        <w:jc w:val="both"/>
        <w:rPr>
          <w:rFonts w:ascii="Calibri" w:cs="Calibri" w:eastAsia="Calibri" w:hAnsi="Calibri"/>
          <w:b w:val="1"/>
          <w:smallCaps w:val="1"/>
          <w:sz w:val="18"/>
          <w:szCs w:val="18"/>
        </w:rPr>
      </w:pPr>
      <w:r w:rsidDel="00000000" w:rsidR="00000000" w:rsidRPr="00000000">
        <w:rPr>
          <w:rFonts w:ascii="Calibri" w:cs="Calibri" w:eastAsia="Calibri" w:hAnsi="Calibri"/>
          <w:b w:val="1"/>
          <w:smallCaps w:val="1"/>
          <w:sz w:val="18"/>
          <w:szCs w:val="18"/>
          <w:rtl w:val="0"/>
        </w:rPr>
        <w:t xml:space="preserve">Introduction</w:t>
      </w:r>
    </w:p>
    <w:p w:rsidR="00000000" w:rsidDel="00000000" w:rsidP="00000000" w:rsidRDefault="00000000" w:rsidRPr="00000000" w14:paraId="00000025">
      <w:pPr>
        <w:spacing w:line="276" w:lineRule="auto"/>
        <w:contextualSpacing w:val="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Oil-spills in water encouraged the scientific community to explore several methods for their recovery. Sorbents had been proposed for more than 50 years for this purpose (Schatzberg, 1971) being polypropylene the market's choice, regarding its low cost and relative high oleophilicity. Nevertheless, many other materials are being tested for absorption purposes (Dong </w:t>
      </w:r>
      <w:r w:rsidDel="00000000" w:rsidR="00000000" w:rsidRPr="00000000">
        <w:rPr>
          <w:rFonts w:ascii="Calibri" w:cs="Calibri" w:eastAsia="Calibri" w:hAnsi="Calibri"/>
          <w:i w:val="1"/>
          <w:sz w:val="18"/>
          <w:szCs w:val="18"/>
          <w:rtl w:val="0"/>
        </w:rPr>
        <w:t xml:space="preserve">et al</w:t>
      </w:r>
      <w:r w:rsidDel="00000000" w:rsidR="00000000" w:rsidRPr="00000000">
        <w:rPr>
          <w:rFonts w:ascii="Calibri" w:cs="Calibri" w:eastAsia="Calibri" w:hAnsi="Calibri"/>
          <w:sz w:val="18"/>
          <w:szCs w:val="18"/>
          <w:rtl w:val="0"/>
        </w:rPr>
        <w:t xml:space="preserve">., 2016). In this work, sorbents were produced by means of two components: an oleophilic and hydrophobic membrane of selective permeability along with a sorbent polymeric fill. The membrane was made using plasma polymerization technology, which  is used for the synthesis and deposition of nanoparticles over porous substrates (Goyanes </w:t>
      </w:r>
      <w:r w:rsidDel="00000000" w:rsidR="00000000" w:rsidRPr="00000000">
        <w:rPr>
          <w:rFonts w:ascii="Calibri" w:cs="Calibri" w:eastAsia="Calibri" w:hAnsi="Calibri"/>
          <w:i w:val="1"/>
          <w:sz w:val="18"/>
          <w:szCs w:val="18"/>
          <w:rtl w:val="0"/>
        </w:rPr>
        <w:t xml:space="preserve">et al</w:t>
      </w:r>
      <w:r w:rsidDel="00000000" w:rsidR="00000000" w:rsidRPr="00000000">
        <w:rPr>
          <w:rFonts w:ascii="Calibri" w:cs="Calibri" w:eastAsia="Calibri" w:hAnsi="Calibri"/>
          <w:sz w:val="18"/>
          <w:szCs w:val="18"/>
          <w:rtl w:val="0"/>
        </w:rPr>
        <w:t xml:space="preserve">., 2016), increasing dramatically its specific surface area and reducing water wetting.</w:t>
      </w:r>
    </w:p>
    <w:p w:rsidR="00000000" w:rsidDel="00000000" w:rsidP="00000000" w:rsidRDefault="00000000" w:rsidRPr="00000000" w14:paraId="00000026">
      <w:pPr>
        <w:numPr>
          <w:ilvl w:val="0"/>
          <w:numId w:val="2"/>
        </w:numPr>
        <w:spacing w:line="276" w:lineRule="auto"/>
        <w:ind w:left="284"/>
        <w:jc w:val="both"/>
        <w:rPr>
          <w:rFonts w:ascii="Calibri" w:cs="Calibri" w:eastAsia="Calibri" w:hAnsi="Calibri"/>
          <w:b w:val="1"/>
          <w:smallCaps w:val="1"/>
          <w:sz w:val="18"/>
          <w:szCs w:val="18"/>
        </w:rPr>
      </w:pPr>
      <w:r w:rsidDel="00000000" w:rsidR="00000000" w:rsidRPr="00000000">
        <w:rPr>
          <w:rFonts w:ascii="Calibri" w:cs="Calibri" w:eastAsia="Calibri" w:hAnsi="Calibri"/>
          <w:b w:val="1"/>
          <w:smallCaps w:val="1"/>
          <w:sz w:val="18"/>
          <w:szCs w:val="18"/>
          <w:rtl w:val="0"/>
        </w:rPr>
        <w:t xml:space="preserve">Materials and Methods</w:t>
      </w:r>
    </w:p>
    <w:p w:rsidR="00000000" w:rsidDel="00000000" w:rsidP="00000000" w:rsidRDefault="00000000" w:rsidRPr="00000000" w14:paraId="00000027">
      <w:pPr>
        <w:spacing w:line="276" w:lineRule="auto"/>
        <w:contextualSpacing w:val="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 sorbent membrane was a polypropylene nonwoven fabric of 13.84 g/m2 surface density treated in a radio-frequency plasma reactor, according to a patent pending of the group (Goyanes </w:t>
      </w:r>
      <w:r w:rsidDel="00000000" w:rsidR="00000000" w:rsidRPr="00000000">
        <w:rPr>
          <w:rFonts w:ascii="Calibri" w:cs="Calibri" w:eastAsia="Calibri" w:hAnsi="Calibri"/>
          <w:i w:val="1"/>
          <w:sz w:val="18"/>
          <w:szCs w:val="18"/>
          <w:rtl w:val="0"/>
        </w:rPr>
        <w:t xml:space="preserve">et al</w:t>
      </w:r>
      <w:r w:rsidDel="00000000" w:rsidR="00000000" w:rsidRPr="00000000">
        <w:rPr>
          <w:rFonts w:ascii="Calibri" w:cs="Calibri" w:eastAsia="Calibri" w:hAnsi="Calibri"/>
          <w:sz w:val="18"/>
          <w:szCs w:val="18"/>
          <w:rtl w:val="0"/>
        </w:rPr>
        <w:t xml:space="preserve">., 2016). This treatment covers the fabric with polymeric hydrophobic and oleophilic nanoparticles, 90% of them less than 100 nm size, forming a mesoporous structure.</w:t>
      </w:r>
    </w:p>
    <w:p w:rsidR="00000000" w:rsidDel="00000000" w:rsidP="00000000" w:rsidRDefault="00000000" w:rsidRPr="00000000" w14:paraId="00000028">
      <w:pPr>
        <w:spacing w:line="276" w:lineRule="auto"/>
        <w:contextualSpacing w:val="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Afterwards, the membrane was folded and filled with polymeric fibers, forming selective and absorbent low weight wipes (the sorbent) of approximately 50 cm</w:t>
      </w:r>
      <w:r w:rsidDel="00000000" w:rsidR="00000000" w:rsidRPr="00000000">
        <w:rPr>
          <w:rFonts w:ascii="Calibri" w:cs="Calibri" w:eastAsia="Calibri" w:hAnsi="Calibri"/>
          <w:sz w:val="18"/>
          <w:szCs w:val="18"/>
          <w:vertAlign w:val="superscript"/>
          <w:rtl w:val="0"/>
        </w:rPr>
        <w:t xml:space="preserve">2</w:t>
      </w:r>
      <w:r w:rsidDel="00000000" w:rsidR="00000000" w:rsidRPr="00000000">
        <w:rPr>
          <w:rFonts w:ascii="Calibri" w:cs="Calibri" w:eastAsia="Calibri" w:hAnsi="Calibri"/>
          <w:sz w:val="18"/>
          <w:szCs w:val="18"/>
          <w:rtl w:val="0"/>
        </w:rPr>
        <w:t xml:space="preserve"> area and less than 400 g/m2. Many volumetric densities of a given  fill were evaluated, using a material protected by industrial secret.</w:t>
      </w:r>
    </w:p>
    <w:p w:rsidR="00000000" w:rsidDel="00000000" w:rsidP="00000000" w:rsidRDefault="00000000" w:rsidRPr="00000000" w14:paraId="00000029">
      <w:pPr>
        <w:spacing w:line="276" w:lineRule="auto"/>
        <w:contextualSpacing w:val="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Sorbents efficiency was tested according to norm ASTM 726-12. It consists in the submersion of the sorbent in the fluid to be absorbed (crude oil, motor oil and sunflower oil) and measure of the retained weight after 30 seconds of rising the wipe. Fluid loss over time was measured with a digital scale, from where the hydrodynamics of the draining process can be obtained.</w:t>
      </w:r>
    </w:p>
    <w:p w:rsidR="00000000" w:rsidDel="00000000" w:rsidP="00000000" w:rsidRDefault="00000000" w:rsidRPr="00000000" w14:paraId="0000002A">
      <w:pPr>
        <w:numPr>
          <w:ilvl w:val="0"/>
          <w:numId w:val="2"/>
        </w:numPr>
        <w:spacing w:line="276" w:lineRule="auto"/>
        <w:ind w:left="284"/>
        <w:jc w:val="both"/>
        <w:rPr>
          <w:rFonts w:ascii="Calibri" w:cs="Calibri" w:eastAsia="Calibri" w:hAnsi="Calibri"/>
          <w:b w:val="1"/>
          <w:smallCaps w:val="1"/>
          <w:sz w:val="18"/>
          <w:szCs w:val="18"/>
        </w:rPr>
      </w:pPr>
      <w:r w:rsidDel="00000000" w:rsidR="00000000" w:rsidRPr="00000000">
        <w:rPr>
          <w:rFonts w:ascii="Calibri" w:cs="Calibri" w:eastAsia="Calibri" w:hAnsi="Calibri"/>
          <w:b w:val="1"/>
          <w:smallCaps w:val="1"/>
          <w:sz w:val="18"/>
          <w:szCs w:val="18"/>
          <w:rtl w:val="0"/>
        </w:rPr>
        <w:t xml:space="preserve">Results and Discussion </w:t>
      </w:r>
    </w:p>
    <w:p w:rsidR="00000000" w:rsidDel="00000000" w:rsidP="00000000" w:rsidRDefault="00000000" w:rsidRPr="00000000" w14:paraId="0000002B">
      <w:pPr>
        <w:spacing w:line="276" w:lineRule="auto"/>
        <w:contextualSpacing w:val="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Gravity draining of different combinations of membranes and polymeric fills were studied. Figure 1 shows the effect of the fill density and a photograph of the final wipe. Absorbance increases by lowering the fill density, achieving a maximum of 50 at 30 seconds (time according to the norm) for 4.7 kg/m</w:t>
      </w:r>
      <w:r w:rsidDel="00000000" w:rsidR="00000000" w:rsidRPr="00000000">
        <w:rPr>
          <w:rFonts w:ascii="Calibri" w:cs="Calibri" w:eastAsia="Calibri" w:hAnsi="Calibri"/>
          <w:sz w:val="18"/>
          <w:szCs w:val="18"/>
          <w:vertAlign w:val="superscript"/>
          <w:rtl w:val="0"/>
        </w:rPr>
        <w:t xml:space="preserve">3</w:t>
      </w:r>
      <w:r w:rsidDel="00000000" w:rsidR="00000000" w:rsidRPr="00000000">
        <w:rPr>
          <w:rFonts w:ascii="Calibri" w:cs="Calibri" w:eastAsia="Calibri" w:hAnsi="Calibri"/>
          <w:sz w:val="18"/>
          <w:szCs w:val="18"/>
          <w:rtl w:val="0"/>
        </w:rPr>
        <w:t xml:space="preserve">. Lower densities may improve absorbance, but result in a considerably loss of mechanical stability of the wipes.</w:t>
      </w:r>
    </w:p>
    <w:p w:rsidR="00000000" w:rsidDel="00000000" w:rsidP="00000000" w:rsidRDefault="00000000" w:rsidRPr="00000000" w14:paraId="0000002C">
      <w:pPr>
        <w:spacing w:line="276" w:lineRule="auto"/>
        <w:contextualSpacing w:val="0"/>
        <w:jc w:val="center"/>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D">
      <w:pPr>
        <w:spacing w:line="276"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Efficiency of the sorbent varies with the fluid to be absorbed, showing a strong dependence on its viscosity.</w:t>
      </w:r>
    </w:p>
    <w:p w:rsidR="00000000" w:rsidDel="00000000" w:rsidP="00000000" w:rsidRDefault="00000000" w:rsidRPr="00000000" w14:paraId="0000002E">
      <w:pPr>
        <w:numPr>
          <w:ilvl w:val="0"/>
          <w:numId w:val="2"/>
        </w:numPr>
        <w:spacing w:line="276" w:lineRule="auto"/>
        <w:ind w:left="284"/>
        <w:jc w:val="both"/>
        <w:rPr>
          <w:rFonts w:ascii="Calibri" w:cs="Calibri" w:eastAsia="Calibri" w:hAnsi="Calibri"/>
          <w:b w:val="1"/>
          <w:smallCaps w:val="1"/>
          <w:sz w:val="18"/>
          <w:szCs w:val="18"/>
        </w:rPr>
      </w:pPr>
      <w:r w:rsidDel="00000000" w:rsidR="00000000" w:rsidRPr="00000000">
        <w:rPr>
          <w:rFonts w:ascii="Calibri" w:cs="Calibri" w:eastAsia="Calibri" w:hAnsi="Calibri"/>
          <w:b w:val="1"/>
          <w:smallCaps w:val="1"/>
          <w:sz w:val="18"/>
          <w:szCs w:val="18"/>
          <w:rtl w:val="0"/>
        </w:rPr>
        <w:t xml:space="preserve">Conclusion</w:t>
      </w:r>
    </w:p>
    <w:p w:rsidR="00000000" w:rsidDel="00000000" w:rsidP="00000000" w:rsidRDefault="00000000" w:rsidRPr="00000000" w14:paraId="0000002F">
      <w:pPr>
        <w:spacing w:line="276" w:lineRule="auto"/>
        <w:contextualSpacing w:val="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Selective oil absorbent wipes were successfully produced, achieving a maximum absorbance of 50 for sunflower oil and a fill of 4.7 kg/m</w:t>
      </w:r>
      <w:r w:rsidDel="00000000" w:rsidR="00000000" w:rsidRPr="00000000">
        <w:rPr>
          <w:rFonts w:ascii="Calibri" w:cs="Calibri" w:eastAsia="Calibri" w:hAnsi="Calibri"/>
          <w:sz w:val="18"/>
          <w:szCs w:val="18"/>
          <w:vertAlign w:val="superscript"/>
          <w:rtl w:val="0"/>
        </w:rPr>
        <w:t xml:space="preserve">3</w:t>
      </w:r>
      <w:r w:rsidDel="00000000" w:rsidR="00000000" w:rsidRPr="00000000">
        <w:rPr>
          <w:rFonts w:ascii="Calibri" w:cs="Calibri" w:eastAsia="Calibri" w:hAnsi="Calibri"/>
          <w:sz w:val="18"/>
          <w:szCs w:val="18"/>
          <w:rtl w:val="0"/>
        </w:rPr>
        <w:t xml:space="preserve">.</w:t>
      </w:r>
    </w:p>
    <w:p w:rsidR="00000000" w:rsidDel="00000000" w:rsidP="00000000" w:rsidRDefault="00000000" w:rsidRPr="00000000" w14:paraId="00000030">
      <w:pPr>
        <w:numPr>
          <w:ilvl w:val="0"/>
          <w:numId w:val="2"/>
        </w:numPr>
        <w:spacing w:line="276" w:lineRule="auto"/>
        <w:ind w:left="284"/>
        <w:jc w:val="both"/>
        <w:rPr>
          <w:rFonts w:ascii="Calibri" w:cs="Calibri" w:eastAsia="Calibri" w:hAnsi="Calibri"/>
          <w:b w:val="1"/>
          <w:smallCaps w:val="1"/>
          <w:sz w:val="18"/>
          <w:szCs w:val="18"/>
        </w:rPr>
      </w:pPr>
      <w:r w:rsidDel="00000000" w:rsidR="00000000" w:rsidRPr="00000000">
        <w:rPr>
          <w:rFonts w:ascii="Calibri" w:cs="Calibri" w:eastAsia="Calibri" w:hAnsi="Calibri"/>
          <w:b w:val="1"/>
          <w:smallCaps w:val="1"/>
          <w:sz w:val="18"/>
          <w:szCs w:val="18"/>
          <w:rtl w:val="0"/>
        </w:rPr>
        <w:t xml:space="preserve">Acknowledgements</w:t>
      </w:r>
    </w:p>
    <w:p w:rsidR="00000000" w:rsidDel="00000000" w:rsidP="00000000" w:rsidRDefault="00000000" w:rsidRPr="00000000" w14:paraId="00000031">
      <w:pPr>
        <w:spacing w:line="276" w:lineRule="auto"/>
        <w:contextualSpacing w:val="0"/>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This work was supported by a grant of Secretaría de Políticas Universitarias Project N° 3875.</w:t>
      </w:r>
    </w:p>
    <w:p w:rsidR="00000000" w:rsidDel="00000000" w:rsidP="00000000" w:rsidRDefault="00000000" w:rsidRPr="00000000" w14:paraId="00000032">
      <w:pPr>
        <w:spacing w:line="276" w:lineRule="auto"/>
        <w:contextualSpacing w:val="0"/>
        <w:jc w:val="both"/>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33">
      <w:pPr>
        <w:numPr>
          <w:ilvl w:val="0"/>
          <w:numId w:val="2"/>
        </w:numPr>
        <w:spacing w:line="276" w:lineRule="auto"/>
        <w:ind w:left="284"/>
        <w:jc w:val="both"/>
        <w:rPr>
          <w:rFonts w:ascii="Calibri" w:cs="Calibri" w:eastAsia="Calibri" w:hAnsi="Calibri"/>
          <w:b w:val="1"/>
          <w:smallCaps w:val="1"/>
          <w:sz w:val="16"/>
          <w:szCs w:val="16"/>
        </w:rPr>
      </w:pPr>
      <w:r w:rsidDel="00000000" w:rsidR="00000000" w:rsidRPr="00000000">
        <w:rPr>
          <w:rFonts w:ascii="Calibri" w:cs="Calibri" w:eastAsia="Calibri" w:hAnsi="Calibri"/>
          <w:b w:val="1"/>
          <w:smallCaps w:val="1"/>
          <w:sz w:val="16"/>
          <w:szCs w:val="16"/>
          <w:rtl w:val="0"/>
        </w:rPr>
        <w:t xml:space="preserve">References</w:t>
      </w:r>
      <w:r w:rsidDel="00000000" w:rsidR="00000000" w:rsidRPr="00000000">
        <w:rPr>
          <w:rtl w:val="0"/>
        </w:rPr>
      </w:r>
    </w:p>
    <w:p w:rsidR="00000000" w:rsidDel="00000000" w:rsidP="00000000" w:rsidRDefault="00000000" w:rsidRPr="00000000" w14:paraId="00000034">
      <w:pPr>
        <w:numPr>
          <w:ilvl w:val="0"/>
          <w:numId w:val="1"/>
        </w:numPr>
        <w:spacing w:line="276" w:lineRule="auto"/>
        <w:ind w:left="142"/>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Schatzberg, P., </w:t>
      </w:r>
      <w:r w:rsidDel="00000000" w:rsidR="00000000" w:rsidRPr="00000000">
        <w:rPr>
          <w:rFonts w:ascii="Calibri" w:cs="Calibri" w:eastAsia="Calibri" w:hAnsi="Calibri"/>
          <w:i w:val="1"/>
          <w:sz w:val="16"/>
          <w:szCs w:val="16"/>
          <w:rtl w:val="0"/>
        </w:rPr>
        <w:t xml:space="preserve">Coast Guard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i w:val="1"/>
          <w:sz w:val="16"/>
          <w:szCs w:val="16"/>
          <w:rtl w:val="0"/>
        </w:rPr>
        <w:t xml:space="preserve">Office of Research and Development</w:t>
      </w:r>
      <w:r w:rsidDel="00000000" w:rsidR="00000000" w:rsidRPr="00000000">
        <w:rPr>
          <w:rFonts w:ascii="Calibri" w:cs="Calibri" w:eastAsia="Calibri" w:hAnsi="Calibri"/>
          <w:sz w:val="16"/>
          <w:szCs w:val="16"/>
          <w:rtl w:val="0"/>
        </w:rPr>
        <w:t xml:space="preserve">, Report No. 724110.1/2/1, </w:t>
      </w:r>
      <w:r w:rsidDel="00000000" w:rsidR="00000000" w:rsidRPr="00000000">
        <w:rPr>
          <w:rFonts w:ascii="Calibri" w:cs="Calibri" w:eastAsia="Calibri" w:hAnsi="Calibri"/>
          <w:b w:val="1"/>
          <w:sz w:val="16"/>
          <w:szCs w:val="16"/>
          <w:rtl w:val="0"/>
        </w:rPr>
        <w:t xml:space="preserve">1971</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35">
      <w:pPr>
        <w:numPr>
          <w:ilvl w:val="0"/>
          <w:numId w:val="1"/>
        </w:numPr>
        <w:spacing w:line="276" w:lineRule="auto"/>
        <w:ind w:left="142"/>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Dong, T., Cao, S., Xu, g., </w:t>
      </w:r>
      <w:r w:rsidDel="00000000" w:rsidR="00000000" w:rsidRPr="00000000">
        <w:rPr>
          <w:rFonts w:ascii="Calibri" w:cs="Calibri" w:eastAsia="Calibri" w:hAnsi="Calibri"/>
          <w:i w:val="1"/>
          <w:sz w:val="16"/>
          <w:szCs w:val="16"/>
          <w:rtl w:val="0"/>
        </w:rPr>
        <w:t xml:space="preserve">Journal of Hazardous Materials</w:t>
      </w:r>
      <w:r w:rsidDel="00000000" w:rsidR="00000000" w:rsidRPr="00000000">
        <w:rPr>
          <w:rFonts w:ascii="Calibri" w:cs="Calibri" w:eastAsia="Calibri" w:hAnsi="Calibri"/>
          <w:sz w:val="16"/>
          <w:szCs w:val="16"/>
          <w:rtl w:val="0"/>
        </w:rPr>
        <w:t xml:space="preserve">, (305), pp 1-7, </w:t>
      </w:r>
      <w:r w:rsidDel="00000000" w:rsidR="00000000" w:rsidRPr="00000000">
        <w:rPr>
          <w:rFonts w:ascii="Calibri" w:cs="Calibri" w:eastAsia="Calibri" w:hAnsi="Calibri"/>
          <w:b w:val="1"/>
          <w:sz w:val="16"/>
          <w:szCs w:val="16"/>
          <w:rtl w:val="0"/>
        </w:rPr>
        <w:t xml:space="preserve">2016.</w:t>
      </w:r>
      <w:r w:rsidDel="00000000" w:rsidR="00000000" w:rsidRPr="00000000">
        <w:rPr>
          <w:rtl w:val="0"/>
        </w:rPr>
      </w:r>
    </w:p>
    <w:p w:rsidR="00000000" w:rsidDel="00000000" w:rsidP="00000000" w:rsidRDefault="00000000" w:rsidRPr="00000000" w14:paraId="00000036">
      <w:pPr>
        <w:numPr>
          <w:ilvl w:val="0"/>
          <w:numId w:val="1"/>
        </w:numPr>
        <w:spacing w:line="276" w:lineRule="auto"/>
        <w:ind w:left="142"/>
        <w:jc w:val="both"/>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Goyanes S., D'Accorso N., Grondona D., Duran A., Rubiolo G., US Patent 20,160,222,143,</w:t>
      </w:r>
      <w:r w:rsidDel="00000000" w:rsidR="00000000" w:rsidRPr="00000000">
        <w:rPr>
          <w:rFonts w:ascii="Calibri" w:cs="Calibri" w:eastAsia="Calibri" w:hAnsi="Calibri"/>
          <w:b w:val="1"/>
          <w:sz w:val="16"/>
          <w:szCs w:val="16"/>
          <w:rtl w:val="0"/>
        </w:rPr>
        <w:t xml:space="preserve"> 2016</w:t>
      </w:r>
      <w:r w:rsidDel="00000000" w:rsidR="00000000" w:rsidRPr="00000000">
        <w:rPr>
          <w:rtl w:val="0"/>
        </w:rPr>
      </w:r>
    </w:p>
    <w:p w:rsidR="00000000" w:rsidDel="00000000" w:rsidP="00000000" w:rsidRDefault="00000000" w:rsidRPr="00000000" w14:paraId="00000037">
      <w:pPr>
        <w:spacing w:line="240" w:lineRule="auto"/>
        <w:contextualSpacing w:val="0"/>
        <w:rPr>
          <w:rFonts w:ascii="Times New Roman" w:cs="Times New Roman" w:eastAsia="Times New Roman" w:hAnsi="Times New Roman"/>
          <w:sz w:val="24"/>
          <w:szCs w:val="24"/>
        </w:rPr>
      </w:pPr>
      <w:r w:rsidDel="00000000" w:rsidR="00000000" w:rsidRPr="00000000">
        <w:rPr>
          <w:rtl w:val="0"/>
        </w:rPr>
      </w:r>
    </w:p>
    <w:sectPr>
      <w:type w:val="continuous"/>
      <w:pgSz w:h="16834" w:w="11909"/>
      <w:pgMar w:bottom="1440" w:top="1440" w:left="1440" w:right="1440" w:header="0" w:footer="720"/>
      <w:cols w:equalWidth="0" w:num="2">
        <w:col w:space="708" w:w="4464.88"/>
        <w:col w:space="0" w:w="4464.88"/>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 Id="rId8" Type="http://schemas.openxmlformats.org/officeDocument/2006/relationships/hyperlink" Target="mailto:mailautorexpositor@comat.edu.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