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5B3" w:rsidRPr="00B227E7" w:rsidRDefault="00B227E7" w:rsidP="005C65B3">
      <w:pPr>
        <w:pStyle w:val="Textoindependiente"/>
        <w:spacing w:before="73" w:line="198" w:lineRule="exact"/>
        <w:ind w:left="100" w:right="522"/>
        <w:rPr>
          <w:rFonts w:ascii="Minion Pro" w:eastAsia="Minion Pro" w:hAnsi="Minion Pro" w:cs="Minion Pro"/>
          <w:b/>
          <w:bCs/>
          <w:color w:val="337AB7"/>
          <w:sz w:val="36"/>
          <w:szCs w:val="36"/>
        </w:rPr>
      </w:pPr>
      <w:bookmarkStart w:id="0" w:name="_GoBack"/>
      <w:bookmarkEnd w:id="0"/>
      <w:r w:rsidRPr="00B227E7">
        <w:rPr>
          <w:rFonts w:ascii="Minion Pro" w:eastAsia="Minion Pro" w:hAnsi="Minion Pro" w:cs="Minion Pro"/>
          <w:b/>
          <w:bCs/>
          <w:color w:val="337AB7"/>
          <w:sz w:val="36"/>
          <w:szCs w:val="36"/>
        </w:rPr>
        <w:t>Dynamic polymer networks based on reversible aromatic disulfide bond: From self-healing to processability, recyclability and more</w:t>
      </w:r>
    </w:p>
    <w:p w:rsidR="005973B9" w:rsidRDefault="00C03C14" w:rsidP="005973B9">
      <w:pPr>
        <w:pStyle w:val="Textoindependiente"/>
        <w:spacing w:before="73" w:line="198" w:lineRule="exact"/>
        <w:ind w:left="100" w:right="5987"/>
        <w:rPr>
          <w:rFonts w:ascii="Arial"/>
        </w:rPr>
      </w:pPr>
      <w:r>
        <w:rPr>
          <w:rFonts w:ascii="Arial"/>
        </w:rPr>
        <w:t>Alaitz Rekondo,</w:t>
      </w:r>
      <w:r w:rsidR="005973B9">
        <w:rPr>
          <w:rFonts w:ascii="Arial"/>
        </w:rPr>
        <w:t xml:space="preserve"> PhD, </w:t>
      </w:r>
      <w:r>
        <w:rPr>
          <w:rFonts w:ascii="Arial"/>
        </w:rPr>
        <w:t>CIDETEC Foundation</w:t>
      </w:r>
      <w:r w:rsidR="005973B9">
        <w:rPr>
          <w:rFonts w:ascii="Arial"/>
        </w:rPr>
        <w:t xml:space="preserve">, </w:t>
      </w:r>
      <w:r>
        <w:rPr>
          <w:rFonts w:ascii="Arial"/>
        </w:rPr>
        <w:t>SPAIN</w:t>
      </w:r>
      <w:r w:rsidR="005973B9">
        <w:rPr>
          <w:rFonts w:ascii="Arial"/>
        </w:rPr>
        <w:t xml:space="preserve"> </w:t>
      </w:r>
    </w:p>
    <w:p w:rsidR="00AE3E37" w:rsidRDefault="00AE3E37">
      <w:pPr>
        <w:pStyle w:val="Textoindependiente"/>
        <w:rPr>
          <w:rFonts w:ascii="Arial"/>
          <w:sz w:val="20"/>
        </w:rPr>
      </w:pPr>
    </w:p>
    <w:p w:rsidR="00AE3E37" w:rsidRDefault="00AE3E37">
      <w:pPr>
        <w:rPr>
          <w:rFonts w:ascii="Arial"/>
          <w:sz w:val="21"/>
        </w:rPr>
        <w:sectPr w:rsidR="00AE3E37" w:rsidSect="008E5477">
          <w:footerReference w:type="default" r:id="rId9"/>
          <w:type w:val="continuous"/>
          <w:pgSz w:w="11910" w:h="16840"/>
          <w:pgMar w:top="995" w:right="600" w:bottom="840" w:left="620" w:header="0" w:footer="0" w:gutter="0"/>
          <w:cols w:space="720"/>
          <w:docGrid w:linePitch="299"/>
        </w:sectPr>
      </w:pPr>
    </w:p>
    <w:p w:rsidR="00AE3E37" w:rsidRDefault="00A9710C">
      <w:pPr>
        <w:pStyle w:val="Ttulo3"/>
        <w:spacing w:before="147"/>
        <w:jc w:val="both"/>
      </w:pPr>
      <w:r>
        <w:rPr>
          <w:color w:val="BF5A14"/>
        </w:rPr>
        <w:t>Abstract</w:t>
      </w:r>
      <w:r w:rsidR="00404E5B">
        <w:rPr>
          <w:color w:val="BF5A14"/>
        </w:rPr>
        <w:t xml:space="preserve"> (300 word limit)</w:t>
      </w:r>
    </w:p>
    <w:p w:rsidR="0075292F" w:rsidRDefault="005C65B3" w:rsidP="00684B87">
      <w:pPr>
        <w:rPr>
          <w:rFonts w:cstheme="minorHAnsi"/>
          <w:sz w:val="18"/>
          <w:szCs w:val="18"/>
        </w:rPr>
      </w:pPr>
      <w:r w:rsidRPr="00921D74">
        <w:rPr>
          <w:rFonts w:cstheme="minorHAnsi"/>
          <w:sz w:val="18"/>
          <w:szCs w:val="18"/>
        </w:rPr>
        <w:t xml:space="preserve">Thermoset materials are those having a crosslinked network fixed by irreversible covalent bonds. These polymers exhibit excellent mechanical strength, solvent resistance and thermal stability. The above mentioned properties make thermoset materials suitable for numerous applications, such as, biomedical materials, adhesives, coatings and structural applications. </w:t>
      </w:r>
      <w:r>
        <w:rPr>
          <w:rFonts w:cstheme="minorHAnsi"/>
          <w:sz w:val="18"/>
          <w:szCs w:val="18"/>
        </w:rPr>
        <w:t>Due to their thermosetting nature, one</w:t>
      </w:r>
      <w:r w:rsidRPr="00E92677">
        <w:rPr>
          <w:rFonts w:cstheme="minorHAnsi"/>
          <w:sz w:val="18"/>
          <w:szCs w:val="18"/>
        </w:rPr>
        <w:t xml:space="preserve"> of the major drawbacks of classical thermosets is the impossibility to be melted</w:t>
      </w:r>
      <w:r>
        <w:rPr>
          <w:rFonts w:cstheme="minorHAnsi"/>
          <w:sz w:val="18"/>
          <w:szCs w:val="18"/>
        </w:rPr>
        <w:t xml:space="preserve"> </w:t>
      </w:r>
      <w:r w:rsidRPr="00E92677">
        <w:rPr>
          <w:rFonts w:cstheme="minorHAnsi"/>
          <w:sz w:val="18"/>
          <w:szCs w:val="18"/>
        </w:rPr>
        <w:t>after their curing</w:t>
      </w:r>
      <w:r>
        <w:rPr>
          <w:rFonts w:cstheme="minorHAnsi"/>
          <w:sz w:val="18"/>
          <w:szCs w:val="18"/>
        </w:rPr>
        <w:t xml:space="preserve"> step.</w:t>
      </w:r>
      <w:r w:rsidRPr="005C65B3">
        <w:rPr>
          <w:rFonts w:cstheme="minorHAnsi"/>
          <w:sz w:val="18"/>
          <w:szCs w:val="18"/>
        </w:rPr>
        <w:t xml:space="preserve"> </w:t>
      </w:r>
      <w:r>
        <w:rPr>
          <w:rFonts w:cstheme="minorHAnsi"/>
          <w:sz w:val="18"/>
          <w:szCs w:val="18"/>
        </w:rPr>
        <w:t>T</w:t>
      </w:r>
      <w:r w:rsidRPr="00E92677">
        <w:rPr>
          <w:rFonts w:cstheme="minorHAnsi"/>
          <w:sz w:val="18"/>
          <w:szCs w:val="18"/>
        </w:rPr>
        <w:t>his makes their reprocessing and recycling impossible</w:t>
      </w:r>
      <w:r>
        <w:rPr>
          <w:rFonts w:cstheme="minorHAnsi"/>
          <w:sz w:val="18"/>
          <w:szCs w:val="18"/>
        </w:rPr>
        <w:t xml:space="preserve"> limiting their use in some applications</w:t>
      </w:r>
      <w:r w:rsidRPr="00E92677">
        <w:rPr>
          <w:rFonts w:cstheme="minorHAnsi"/>
          <w:sz w:val="18"/>
          <w:szCs w:val="18"/>
        </w:rPr>
        <w:t>.</w:t>
      </w:r>
      <w:r w:rsidRPr="00B5558E">
        <w:rPr>
          <w:rFonts w:cstheme="minorHAnsi"/>
          <w:sz w:val="18"/>
          <w:szCs w:val="18"/>
        </w:rPr>
        <w:t xml:space="preserve"> </w:t>
      </w:r>
      <w:r w:rsidR="0075292F">
        <w:rPr>
          <w:rFonts w:cstheme="minorHAnsi"/>
          <w:sz w:val="18"/>
          <w:szCs w:val="18"/>
        </w:rPr>
        <w:t xml:space="preserve">This limitation has been overcome by means of the polymeric networks containing dynamic covalent bonds that have found applications in </w:t>
      </w:r>
      <w:r w:rsidR="0075292F" w:rsidRPr="00950E93">
        <w:rPr>
          <w:rFonts w:cstheme="minorHAnsi"/>
          <w:sz w:val="18"/>
          <w:szCs w:val="18"/>
        </w:rPr>
        <w:t>reprocessable/recyclable thermoset</w:t>
      </w:r>
      <w:r w:rsidR="0075292F">
        <w:rPr>
          <w:rFonts w:cstheme="minorHAnsi"/>
          <w:sz w:val="18"/>
          <w:szCs w:val="18"/>
        </w:rPr>
        <w:t>s</w:t>
      </w:r>
      <w:r w:rsidR="0075292F" w:rsidRPr="00B5558E">
        <w:rPr>
          <w:rFonts w:cstheme="minorHAnsi"/>
          <w:sz w:val="18"/>
          <w:szCs w:val="18"/>
        </w:rPr>
        <w:t xml:space="preserve"> and self-healing polymers</w:t>
      </w:r>
      <w:r w:rsidR="006761EB" w:rsidRPr="00B5558E">
        <w:rPr>
          <w:rFonts w:cstheme="minorHAnsi"/>
          <w:sz w:val="18"/>
          <w:szCs w:val="18"/>
          <w:vertAlign w:val="superscript"/>
        </w:rPr>
        <w:t>1-3</w:t>
      </w:r>
      <w:r w:rsidR="0075292F">
        <w:rPr>
          <w:rFonts w:cstheme="minorHAnsi"/>
          <w:sz w:val="18"/>
          <w:szCs w:val="18"/>
        </w:rPr>
        <w:t xml:space="preserve">. </w:t>
      </w:r>
      <w:r w:rsidR="0075292F" w:rsidRPr="0075292F">
        <w:rPr>
          <w:rFonts w:cstheme="minorHAnsi"/>
          <w:sz w:val="18"/>
          <w:szCs w:val="18"/>
        </w:rPr>
        <w:t>The idea underneath is to introduce exchangeable bonds in a polymer network, which can rearrange thermally (or under another stimulus), while keeping the network integrity. This enables unprecedented functionalities to such polymer networks, such as self-healing capacity, thermoforming, repairing, reprocessing or recycling.</w:t>
      </w:r>
    </w:p>
    <w:p w:rsidR="00AE3E37" w:rsidRPr="00684B87" w:rsidRDefault="00A4180F" w:rsidP="00684B87">
      <w:pPr>
        <w:pStyle w:val="Maintext"/>
        <w:spacing w:line="240" w:lineRule="auto"/>
        <w:rPr>
          <w:rFonts w:ascii="Tw Cen MT" w:eastAsia="Tw Cen MT" w:hAnsi="Tw Cen MT" w:cstheme="minorHAnsi"/>
          <w:sz w:val="18"/>
          <w:szCs w:val="18"/>
          <w:lang w:eastAsia="en-US"/>
        </w:rPr>
      </w:pPr>
      <w:r w:rsidRPr="00684B87">
        <w:rPr>
          <w:rFonts w:ascii="Tw Cen MT" w:eastAsia="Tw Cen MT" w:hAnsi="Tw Cen MT" w:cstheme="minorHAnsi"/>
          <w:sz w:val="18"/>
          <w:szCs w:val="18"/>
          <w:lang w:eastAsia="en-US"/>
        </w:rPr>
        <w:t>CIDETEC has developed a</w:t>
      </w:r>
      <w:r w:rsidR="0008732C" w:rsidRPr="00684B87">
        <w:rPr>
          <w:rFonts w:ascii="Tw Cen MT" w:eastAsia="Tw Cen MT" w:hAnsi="Tw Cen MT" w:cstheme="minorHAnsi"/>
          <w:sz w:val="18"/>
          <w:szCs w:val="18"/>
          <w:lang w:eastAsia="en-US"/>
        </w:rPr>
        <w:t>n interesting</w:t>
      </w:r>
      <w:r w:rsidRPr="00684B87">
        <w:rPr>
          <w:rFonts w:ascii="Tw Cen MT" w:eastAsia="Tw Cen MT" w:hAnsi="Tw Cen MT" w:cstheme="minorHAnsi"/>
          <w:sz w:val="18"/>
          <w:szCs w:val="18"/>
          <w:lang w:eastAsia="en-US"/>
        </w:rPr>
        <w:t xml:space="preserve"> range of innovative </w:t>
      </w:r>
      <w:r w:rsidR="0008732C" w:rsidRPr="00684B87">
        <w:rPr>
          <w:rFonts w:ascii="Tw Cen MT" w:eastAsia="Tw Cen MT" w:hAnsi="Tw Cen MT" w:cstheme="minorHAnsi"/>
          <w:sz w:val="18"/>
          <w:szCs w:val="18"/>
          <w:lang w:eastAsia="en-US"/>
        </w:rPr>
        <w:t xml:space="preserve">dynamic thermoset materials by using as a crosslinking agent a commercially available hardener containing reversible aromatic disulfide </w:t>
      </w:r>
      <w:r w:rsidR="0008732C" w:rsidRPr="00B05CA7">
        <w:rPr>
          <w:rFonts w:ascii="Tw Cen MT" w:eastAsia="Tw Cen MT" w:hAnsi="Tw Cen MT" w:cstheme="minorHAnsi"/>
          <w:sz w:val="18"/>
          <w:szCs w:val="18"/>
          <w:lang w:eastAsia="en-US"/>
        </w:rPr>
        <w:t>bonds</w:t>
      </w:r>
      <w:r w:rsidR="006761EB" w:rsidRPr="00B05CA7">
        <w:rPr>
          <w:rFonts w:ascii="Tw Cen MT" w:eastAsia="Tw Cen MT" w:hAnsi="Tw Cen MT" w:cstheme="minorHAnsi"/>
          <w:sz w:val="18"/>
          <w:szCs w:val="18"/>
          <w:vertAlign w:val="superscript"/>
          <w:lang w:eastAsia="en-US"/>
        </w:rPr>
        <w:t>4-6</w:t>
      </w:r>
      <w:r w:rsidR="0008732C" w:rsidRPr="00684B87">
        <w:rPr>
          <w:rFonts w:ascii="Tw Cen MT" w:eastAsia="Tw Cen MT" w:hAnsi="Tw Cen MT" w:cstheme="minorHAnsi"/>
          <w:sz w:val="18"/>
          <w:szCs w:val="18"/>
          <w:lang w:eastAsia="en-US"/>
        </w:rPr>
        <w:t xml:space="preserve">. </w:t>
      </w:r>
      <w:r w:rsidR="00D72BA2" w:rsidRPr="00684B87">
        <w:rPr>
          <w:rFonts w:ascii="Tw Cen MT" w:eastAsia="Tw Cen MT" w:hAnsi="Tw Cen MT" w:cstheme="minorHAnsi"/>
          <w:sz w:val="18"/>
          <w:szCs w:val="18"/>
          <w:lang w:eastAsia="en-US"/>
        </w:rPr>
        <w:t xml:space="preserve">The introduction of dynamic aromatic disulfide moieties in different polymer matrixes has </w:t>
      </w:r>
      <w:r w:rsidR="00684B87" w:rsidRPr="00684B87">
        <w:rPr>
          <w:rFonts w:ascii="Tw Cen MT" w:eastAsia="Tw Cen MT" w:hAnsi="Tw Cen MT" w:cstheme="minorHAnsi"/>
          <w:sz w:val="18"/>
          <w:szCs w:val="18"/>
          <w:lang w:eastAsia="en-US"/>
        </w:rPr>
        <w:t>enabled</w:t>
      </w:r>
      <w:r w:rsidR="00D72BA2" w:rsidRPr="00684B87">
        <w:rPr>
          <w:rFonts w:ascii="Tw Cen MT" w:eastAsia="Tw Cen MT" w:hAnsi="Tw Cen MT" w:cstheme="minorHAnsi"/>
          <w:sz w:val="18"/>
          <w:szCs w:val="18"/>
          <w:lang w:eastAsia="en-US"/>
        </w:rPr>
        <w:t xml:space="preserve"> the development of </w:t>
      </w:r>
      <w:r w:rsidR="00684B87" w:rsidRPr="00684B87">
        <w:rPr>
          <w:rFonts w:ascii="Tw Cen MT" w:eastAsia="Tw Cen MT" w:hAnsi="Tw Cen MT" w:cstheme="minorHAnsi"/>
          <w:sz w:val="18"/>
          <w:szCs w:val="18"/>
          <w:lang w:eastAsia="en-US"/>
        </w:rPr>
        <w:t xml:space="preserve">i) novel </w:t>
      </w:r>
      <w:r w:rsidR="00D72BA2" w:rsidRPr="00684B87">
        <w:rPr>
          <w:rFonts w:ascii="Tw Cen MT" w:eastAsia="Tw Cen MT" w:hAnsi="Tw Cen MT" w:cstheme="minorHAnsi"/>
          <w:sz w:val="18"/>
          <w:szCs w:val="18"/>
          <w:lang w:eastAsia="en-US"/>
        </w:rPr>
        <w:t>p</w:t>
      </w:r>
      <w:r w:rsidR="0008732C" w:rsidRPr="00684B87">
        <w:rPr>
          <w:rFonts w:ascii="Tw Cen MT" w:eastAsia="Tw Cen MT" w:hAnsi="Tw Cen MT" w:cstheme="minorHAnsi"/>
          <w:sz w:val="18"/>
          <w:szCs w:val="18"/>
          <w:lang w:eastAsia="en-US"/>
        </w:rPr>
        <w:t>olyurethane elastomers with complete self-healin</w:t>
      </w:r>
      <w:r w:rsidR="00684B87">
        <w:rPr>
          <w:rFonts w:ascii="Tw Cen MT" w:eastAsia="Tw Cen MT" w:hAnsi="Tw Cen MT" w:cstheme="minorHAnsi"/>
          <w:sz w:val="18"/>
          <w:szCs w:val="18"/>
          <w:lang w:eastAsia="en-US"/>
        </w:rPr>
        <w:t>g capacity at room temperature or</w:t>
      </w:r>
      <w:r w:rsidR="0008732C" w:rsidRPr="00684B87">
        <w:rPr>
          <w:rFonts w:ascii="Tw Cen MT" w:eastAsia="Tw Cen MT" w:hAnsi="Tw Cen MT" w:cstheme="minorHAnsi"/>
          <w:sz w:val="18"/>
          <w:szCs w:val="18"/>
          <w:lang w:eastAsia="en-US"/>
        </w:rPr>
        <w:t xml:space="preserve"> </w:t>
      </w:r>
      <w:r w:rsidR="00684B87" w:rsidRPr="00684B87">
        <w:rPr>
          <w:rFonts w:ascii="Tw Cen MT" w:eastAsia="Tw Cen MT" w:hAnsi="Tw Cen MT" w:cstheme="minorHAnsi"/>
          <w:sz w:val="18"/>
          <w:szCs w:val="18"/>
          <w:lang w:eastAsia="en-US"/>
        </w:rPr>
        <w:t xml:space="preserve">ii) </w:t>
      </w:r>
      <w:r w:rsidR="0008732C" w:rsidRPr="00684B87">
        <w:rPr>
          <w:rFonts w:ascii="Tw Cen MT" w:eastAsia="Tw Cen MT" w:hAnsi="Tw Cen MT" w:cstheme="minorHAnsi"/>
          <w:sz w:val="18"/>
          <w:szCs w:val="18"/>
          <w:lang w:eastAsia="en-US"/>
        </w:rPr>
        <w:t>reprocessable, repairable and recyclable epoxy r</w:t>
      </w:r>
      <w:r w:rsidR="00D72BA2" w:rsidRPr="00684B87">
        <w:rPr>
          <w:rFonts w:ascii="Tw Cen MT" w:eastAsia="Tw Cen MT" w:hAnsi="Tw Cen MT" w:cstheme="minorHAnsi"/>
          <w:sz w:val="18"/>
          <w:szCs w:val="18"/>
          <w:lang w:eastAsia="en-US"/>
        </w:rPr>
        <w:t>esin based thermoset composites</w:t>
      </w:r>
      <w:r w:rsidR="008952BA" w:rsidRPr="00684B87">
        <w:rPr>
          <w:rFonts w:ascii="Tw Cen MT" w:eastAsia="Tw Cen MT" w:hAnsi="Tw Cen MT" w:cstheme="minorHAnsi"/>
          <w:sz w:val="18"/>
          <w:szCs w:val="18"/>
          <w:lang w:eastAsia="en-US"/>
        </w:rPr>
        <w:t>.</w:t>
      </w:r>
      <w:r w:rsidR="00684B87" w:rsidRPr="00684B87">
        <w:rPr>
          <w:rFonts w:ascii="Tw Cen MT" w:eastAsia="Tw Cen MT" w:hAnsi="Tw Cen MT" w:cstheme="minorHAnsi"/>
          <w:sz w:val="18"/>
          <w:szCs w:val="18"/>
          <w:lang w:eastAsia="en-US"/>
        </w:rPr>
        <w:t xml:space="preserve"> Such systems constitutes a step forward towards the implementation of advanced polymeric materials in industrial applications, and offers the possibility of obtaining a new generation of fiber-reinforced composite structures with enhanced functional properties.</w:t>
      </w:r>
    </w:p>
    <w:p w:rsidR="00861D2A" w:rsidRDefault="00A9710C">
      <w:pPr>
        <w:pStyle w:val="Ttulo3"/>
        <w:spacing w:before="74"/>
      </w:pPr>
      <w:r>
        <w:rPr>
          <w:b w:val="0"/>
        </w:rPr>
        <w:br w:type="column"/>
      </w:r>
      <w:r>
        <w:rPr>
          <w:color w:val="BF5A14"/>
        </w:rPr>
        <w:t>Image</w:t>
      </w:r>
      <w:r w:rsidR="00861D2A">
        <w:rPr>
          <w:color w:val="BF5A14"/>
        </w:rPr>
        <w:t xml:space="preserve">     </w:t>
      </w:r>
    </w:p>
    <w:p w:rsidR="00AE3E37" w:rsidRDefault="00861D2A" w:rsidP="00861D2A">
      <w:pPr>
        <w:pStyle w:val="Textoindependiente"/>
        <w:spacing w:before="2"/>
        <w:rPr>
          <w:rFonts w:ascii="Arial"/>
          <w:b/>
          <w:sz w:val="16"/>
        </w:rPr>
      </w:pPr>
      <w:r>
        <w:rPr>
          <w:rFonts w:ascii="Arial"/>
          <w:b/>
          <w:noProof/>
          <w:sz w:val="16"/>
          <w:lang w:val="es-ES" w:eastAsia="es-ES"/>
        </w:rPr>
        <w:drawing>
          <wp:inline distT="0" distB="0" distL="0" distR="0">
            <wp:extent cx="3505806" cy="4448175"/>
            <wp:effectExtent l="0" t="0" r="0" b="0"/>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abstract.jpg"/>
                    <pic:cNvPicPr/>
                  </pic:nvPicPr>
                  <pic:blipFill>
                    <a:blip r:embed="rId10">
                      <a:extLst>
                        <a:ext uri="{28A0092B-C50C-407E-A947-70E740481C1C}">
                          <a14:useLocalDpi xmlns:a14="http://schemas.microsoft.com/office/drawing/2010/main" val="0"/>
                        </a:ext>
                      </a:extLst>
                    </a:blip>
                    <a:stretch>
                      <a:fillRect/>
                    </a:stretch>
                  </pic:blipFill>
                  <pic:spPr>
                    <a:xfrm>
                      <a:off x="0" y="0"/>
                      <a:ext cx="3510240" cy="4453800"/>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4C0C3B" w:rsidRPr="004C0C3B" w:rsidRDefault="004C0C3B" w:rsidP="005973B9">
      <w:pPr>
        <w:pStyle w:val="Prrafodelista"/>
        <w:numPr>
          <w:ilvl w:val="0"/>
          <w:numId w:val="3"/>
        </w:numPr>
        <w:tabs>
          <w:tab w:val="left" w:pos="384"/>
        </w:tabs>
        <w:spacing w:line="216" w:lineRule="exact"/>
        <w:ind w:right="137" w:hanging="283"/>
        <w:rPr>
          <w:sz w:val="18"/>
        </w:rPr>
      </w:pPr>
      <w:r w:rsidRPr="004C0C3B">
        <w:rPr>
          <w:sz w:val="18"/>
        </w:rPr>
        <w:t>Y. Jin, C. Yu, R. J. Denman, W. Zhang, Chem. Soc. Rev. 2013, 42, 6634</w:t>
      </w:r>
      <w:r w:rsidR="00AE43BC">
        <w:rPr>
          <w:sz w:val="18"/>
        </w:rPr>
        <w:t>.</w:t>
      </w:r>
    </w:p>
    <w:p w:rsidR="004C0C3B" w:rsidRDefault="004C0C3B" w:rsidP="004C0C3B">
      <w:pPr>
        <w:pStyle w:val="Prrafodelista"/>
        <w:numPr>
          <w:ilvl w:val="0"/>
          <w:numId w:val="3"/>
        </w:numPr>
        <w:tabs>
          <w:tab w:val="left" w:pos="384"/>
        </w:tabs>
        <w:spacing w:line="216" w:lineRule="exact"/>
        <w:ind w:right="137"/>
        <w:rPr>
          <w:sz w:val="18"/>
        </w:rPr>
      </w:pPr>
      <w:r w:rsidRPr="004C0C3B">
        <w:rPr>
          <w:sz w:val="18"/>
        </w:rPr>
        <w:t>N. Roy, B. Bruchmann, J.-M. Lehn, Chem. Soc. Rev. 2015, 261, 155.</w:t>
      </w:r>
    </w:p>
    <w:p w:rsidR="004C0C3B" w:rsidRPr="004C0C3B" w:rsidRDefault="004C0C3B" w:rsidP="004C0C3B">
      <w:pPr>
        <w:pStyle w:val="Prrafodelista"/>
        <w:numPr>
          <w:ilvl w:val="0"/>
          <w:numId w:val="3"/>
        </w:numPr>
        <w:tabs>
          <w:tab w:val="left" w:pos="384"/>
        </w:tabs>
        <w:spacing w:line="216" w:lineRule="exact"/>
        <w:ind w:right="137"/>
        <w:rPr>
          <w:sz w:val="18"/>
        </w:rPr>
      </w:pPr>
      <w:r w:rsidRPr="004C0C3B">
        <w:rPr>
          <w:sz w:val="18"/>
        </w:rPr>
        <w:t>C. J. Kloxin, C. N. Bowman, Chem. Soc. Rev. 2013, 42, 7161.</w:t>
      </w:r>
    </w:p>
    <w:p w:rsidR="005973B9" w:rsidRDefault="004C0C3B" w:rsidP="009E6E61">
      <w:pPr>
        <w:pStyle w:val="Prrafodelista"/>
        <w:numPr>
          <w:ilvl w:val="0"/>
          <w:numId w:val="3"/>
        </w:numPr>
        <w:tabs>
          <w:tab w:val="left" w:pos="384"/>
        </w:tabs>
        <w:spacing w:line="216" w:lineRule="exact"/>
        <w:ind w:right="137" w:hanging="283"/>
        <w:rPr>
          <w:sz w:val="18"/>
        </w:rPr>
      </w:pPr>
      <w:r w:rsidRPr="00AE43BC">
        <w:rPr>
          <w:sz w:val="18"/>
          <w:lang w:val="es-ES"/>
        </w:rPr>
        <w:t xml:space="preserve">A. Rekondo, R. Martin, A. Ruiz de Luzuriaga, G. Cabanero, H. J. Grande, I. Odriozola, Mater. </w:t>
      </w:r>
      <w:r w:rsidRPr="004C0C3B">
        <w:rPr>
          <w:sz w:val="18"/>
        </w:rPr>
        <w:t>Horiz. 2014, 1, 237.</w:t>
      </w:r>
    </w:p>
    <w:p w:rsidR="005973B9" w:rsidRPr="009E6E61" w:rsidRDefault="004C0C3B" w:rsidP="009E6E61">
      <w:pPr>
        <w:pStyle w:val="Prrafodelista"/>
        <w:numPr>
          <w:ilvl w:val="0"/>
          <w:numId w:val="3"/>
        </w:numPr>
        <w:tabs>
          <w:tab w:val="left" w:pos="384"/>
        </w:tabs>
        <w:spacing w:line="216" w:lineRule="exact"/>
        <w:ind w:right="137" w:hanging="283"/>
        <w:rPr>
          <w:sz w:val="18"/>
        </w:rPr>
      </w:pPr>
      <w:r w:rsidRPr="00AE43BC">
        <w:rPr>
          <w:sz w:val="18"/>
          <w:lang w:val="es-ES"/>
        </w:rPr>
        <w:t xml:space="preserve">R. Martin, A. Rekondo, A. Ruiz de Luzuriaga, G. Cabanero, H. J. Grande, I. Odriozola, J. Mater. </w:t>
      </w:r>
      <w:r w:rsidRPr="009E6E61">
        <w:rPr>
          <w:sz w:val="18"/>
        </w:rPr>
        <w:t>Chem. A.    2014, 2, 5710.</w:t>
      </w:r>
    </w:p>
    <w:p w:rsidR="005973B9" w:rsidRPr="009E6E61" w:rsidRDefault="009E6E61" w:rsidP="009E6E61">
      <w:pPr>
        <w:pStyle w:val="Prrafodelista"/>
        <w:numPr>
          <w:ilvl w:val="0"/>
          <w:numId w:val="3"/>
        </w:numPr>
        <w:tabs>
          <w:tab w:val="left" w:pos="384"/>
        </w:tabs>
        <w:spacing w:line="216" w:lineRule="exact"/>
        <w:ind w:right="137" w:hanging="283"/>
        <w:rPr>
          <w:sz w:val="18"/>
        </w:rPr>
      </w:pPr>
      <w:r w:rsidRPr="009E6E61">
        <w:rPr>
          <w:sz w:val="18"/>
          <w:lang w:val="es-ES"/>
        </w:rPr>
        <w:t xml:space="preserve">A. Ruiz de Luzuriaga, R. Martin, N. Markaide, A. Rekondo, G. Cabanero, J. Rodriguez and I. Odriozola, Mater. </w:t>
      </w:r>
      <w:r>
        <w:rPr>
          <w:sz w:val="18"/>
        </w:rPr>
        <w:t>Horiz.</w:t>
      </w:r>
      <w:r w:rsidRPr="009E6E61">
        <w:rPr>
          <w:sz w:val="18"/>
        </w:rPr>
        <w:t xml:space="preserve"> 2016, 3, 241.</w:t>
      </w:r>
    </w:p>
    <w:p w:rsidR="00AE3E37" w:rsidRPr="009E6E61" w:rsidRDefault="00AE3E37" w:rsidP="008756E6">
      <w:pPr>
        <w:tabs>
          <w:tab w:val="left" w:pos="384"/>
        </w:tabs>
        <w:ind w:right="117"/>
        <w:rPr>
          <w:lang w:val="en-GB"/>
        </w:rPr>
      </w:pPr>
    </w:p>
    <w:p w:rsidR="00AE3E37" w:rsidRPr="009E6E61" w:rsidRDefault="008756E6">
      <w:pPr>
        <w:spacing w:line="200" w:lineRule="exact"/>
        <w:jc w:val="both"/>
        <w:rPr>
          <w:rFonts w:ascii="Calibri" w:hAnsi="Calibri"/>
          <w:lang w:val="en-GB"/>
        </w:rPr>
        <w:sectPr w:rsidR="00AE3E37" w:rsidRPr="009E6E61" w:rsidSect="008E5477">
          <w:type w:val="continuous"/>
          <w:pgSz w:w="11910" w:h="16840"/>
          <w:pgMar w:top="995" w:right="600" w:bottom="840" w:left="620" w:header="720" w:footer="720" w:gutter="0"/>
          <w:cols w:num="2" w:space="720" w:equalWidth="0">
            <w:col w:w="5214" w:space="138"/>
            <w:col w:w="5338"/>
          </w:cols>
        </w:sectPr>
      </w:pPr>
      <w:r w:rsidRPr="009E6E61">
        <w:rPr>
          <w:rFonts w:ascii="Calibri" w:hAnsi="Calibri"/>
          <w:lang w:val="en-GB"/>
        </w:rPr>
        <w:t xml:space="preserve">   </w:t>
      </w:r>
    </w:p>
    <w:p w:rsidR="00AE3E37" w:rsidRPr="009E6E61" w:rsidRDefault="00AE3E37">
      <w:pPr>
        <w:pStyle w:val="Textoindependiente"/>
        <w:rPr>
          <w:rFonts w:ascii="Calibri"/>
          <w:sz w:val="20"/>
          <w:lang w:val="en-GB"/>
        </w:rPr>
      </w:pPr>
    </w:p>
    <w:p w:rsidR="00AE3E37" w:rsidRDefault="00292ED9">
      <w:pPr>
        <w:pStyle w:val="Textoindependiente"/>
        <w:spacing w:line="40" w:lineRule="exact"/>
        <w:ind w:left="2202"/>
        <w:rPr>
          <w:rFonts w:ascii="Calibri"/>
          <w:sz w:val="4"/>
        </w:rPr>
      </w:pPr>
      <w:r>
        <w:rPr>
          <w:rFonts w:ascii="Calibri"/>
          <w:noProof/>
          <w:sz w:val="4"/>
          <w:lang w:val="es-ES" w:eastAsia="es-ES"/>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A5CA3E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s-ES" w:eastAsia="es-ES"/>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5621655</wp:posOffset>
                </wp:positionH>
                <wp:positionV relativeFrom="paragraph">
                  <wp:posOffset>15875</wp:posOffset>
                </wp:positionV>
                <wp:extent cx="1303655" cy="556260"/>
                <wp:effectExtent l="19050" t="19050" r="10795" b="1524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3655" cy="55626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414F6A" w:rsidP="00A52075">
                            <w:pPr>
                              <w:rPr>
                                <w:b/>
                                <w:color w:val="0000FF"/>
                                <w:lang w:val="en-IN"/>
                              </w:rPr>
                            </w:pPr>
                            <w:r>
                              <w:rPr>
                                <w:noProof/>
                                <w:lang w:val="es-ES" w:eastAsia="es-ES"/>
                              </w:rPr>
                              <w:drawing>
                                <wp:inline distT="0" distB="0" distL="0" distR="0">
                                  <wp:extent cx="1081093" cy="357809"/>
                                  <wp:effectExtent l="0" t="0" r="5080" b="4445"/>
                                  <wp:docPr id="4" name="Imagen 4" descr="http://ntci015/centrodoc/General/Imagen%20corporativa/SURFACE%20ENGINEERING/logo_cidetec_surface_enginee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ci015/centrodoc/General/Imagen%20corporativa/SURFACE%20ENGINEERING/logo_cidetec_surface_engineering.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6885" cy="363036"/>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2.65pt;margin-top:1.25pt;width:102.65pt;height:4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" strokecolor="#9bbb59" strokeweight="2.5pt">
                <v:shadow color="#868686"/>
                <v:textbox>
                  <w:txbxContent>
                    <w:p w:rsidR="00A52075" w:rsidRDefault="00414F6A" w:rsidP="00A52075">
                      <w:pPr>
                        <w:rPr>
                          <w:b/>
                          <w:color w:val="0000FF"/>
                          <w:lang w:val="en-IN"/>
                        </w:rPr>
                      </w:pPr>
                      <w:r>
                        <w:rPr>
                          <w:noProof/>
                          <w:lang w:val="es-ES" w:eastAsia="es-ES"/>
                        </w:rPr>
                        <w:drawing>
                          <wp:inline distT="0" distB="0" distL="0" distR="0">
                            <wp:extent cx="1081093" cy="357809"/>
                            <wp:effectExtent l="0" t="0" r="5080" b="4445"/>
                            <wp:docPr id="4" name="Imagen 4" descr="http://ntci015/centrodoc/General/Imagen%20corporativa/SURFACE%20ENGINEERING/logo_cidetec_surface_enginee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ci015/centrodoc/General/Imagen%20corporativa/SURFACE%20ENGINEERING/logo_cidetec_surface_engineering.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96885" cy="363036"/>
                                    </a:xfrm>
                                    <a:prstGeom prst="rect">
                                      <a:avLst/>
                                    </a:prstGeom>
                                    <a:noFill/>
                                    <a:ln>
                                      <a:noFill/>
                                    </a:ln>
                                  </pic:spPr>
                                </pic:pic>
                              </a:graphicData>
                            </a:graphic>
                          </wp:inline>
                        </w:drawing>
                      </w:r>
                    </w:p>
                  </w:txbxContent>
                </v:textbox>
              </v:roundrect>
            </w:pict>
          </mc:Fallback>
        </mc:AlternateContent>
      </w:r>
      <w:r w:rsidR="008756E6">
        <w:rPr>
          <w:noProof/>
        </w:rPr>
        <w:t xml:space="preserve">              </w:t>
      </w:r>
      <w:r w:rsidR="00AE43BC">
        <w:rPr>
          <w:noProof/>
          <w:lang w:val="es-ES" w:eastAsia="es-ES"/>
        </w:rPr>
        <w:drawing>
          <wp:inline distT="0" distB="0" distL="0" distR="0">
            <wp:extent cx="588396" cy="644056"/>
            <wp:effectExtent l="0" t="0" r="2540" b="3810"/>
            <wp:docPr id="1" name="Imagen 1" descr="C:\Users\arekondo\AppData\Local\Microsoft\Windows\INetCache\Content.Word\Alaitz Rekondo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ekondo\AppData\Local\Microsoft\Windows\INetCache\Content.Word\Alaitz Rekondo_02.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27065"/>
                    <a:stretch/>
                  </pic:blipFill>
                  <pic:spPr bwMode="auto">
                    <a:xfrm>
                      <a:off x="0" y="0"/>
                      <a:ext cx="614545" cy="672679"/>
                    </a:xfrm>
                    <a:prstGeom prst="rect">
                      <a:avLst/>
                    </a:prstGeom>
                    <a:noFill/>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E0665C">
      <w:pPr>
        <w:spacing w:before="41" w:line="154" w:lineRule="exact"/>
        <w:ind w:left="213" w:right="231"/>
        <w:jc w:val="both"/>
        <w:rPr>
          <w:rFonts w:ascii="Arial"/>
          <w:sz w:val="14"/>
        </w:rPr>
      </w:pPr>
      <w:r w:rsidRPr="00E0665C">
        <w:rPr>
          <w:rFonts w:ascii="Arial"/>
          <w:sz w:val="14"/>
        </w:rPr>
        <w:t>Dr. Rekondo has been developing her research in the field of elastomeric PUU materials</w:t>
      </w:r>
      <w:r>
        <w:rPr>
          <w:rFonts w:ascii="Arial"/>
          <w:sz w:val="14"/>
        </w:rPr>
        <w:t xml:space="preserve"> since 2003. Before joining </w:t>
      </w:r>
      <w:r w:rsidRPr="00E0665C">
        <w:rPr>
          <w:rFonts w:ascii="Arial"/>
          <w:sz w:val="14"/>
        </w:rPr>
        <w:t>CIDETEC she was working for 6 years in the R&amp;D department of an industrial company focused on the field of adhesives and sealants, where she developed and coordinated severa</w:t>
      </w:r>
      <w:r>
        <w:rPr>
          <w:rFonts w:ascii="Arial"/>
          <w:sz w:val="14"/>
        </w:rPr>
        <w:t>l research projects</w:t>
      </w:r>
      <w:r w:rsidRPr="00E0665C">
        <w:rPr>
          <w:rFonts w:ascii="Arial"/>
          <w:sz w:val="14"/>
        </w:rPr>
        <w:t xml:space="preserve">. She has been Head of the Laboratory of Sealants and Adhesives for a year in the same company, leading projects aimed to new product development. She currently </w:t>
      </w:r>
      <w:r>
        <w:rPr>
          <w:rFonts w:ascii="Arial"/>
          <w:sz w:val="14"/>
        </w:rPr>
        <w:t xml:space="preserve">is the head of the Polymers &amp; Composites Unit of </w:t>
      </w:r>
      <w:r w:rsidRPr="00E0665C">
        <w:rPr>
          <w:rFonts w:ascii="Arial"/>
          <w:sz w:val="14"/>
        </w:rPr>
        <w:t>CIDETEC, where her main research activities focus on the development of new families of dynamic materials (composites, elastomers, adhesives and coatings) based on reversible chemical bonds.</w:t>
      </w:r>
      <w:r>
        <w:rPr>
          <w:rFonts w:ascii="Arial"/>
          <w:sz w:val="14"/>
        </w:rPr>
        <w:t xml:space="preserve"> </w:t>
      </w:r>
    </w:p>
    <w:p w:rsidR="00AE3E37" w:rsidRDefault="00A9710C">
      <w:pPr>
        <w:spacing w:before="62"/>
        <w:ind w:left="4217" w:right="4235"/>
        <w:jc w:val="center"/>
        <w:rPr>
          <w:rFonts w:ascii="Arial"/>
          <w:sz w:val="14"/>
        </w:rPr>
      </w:pPr>
      <w:r>
        <w:rPr>
          <w:rFonts w:ascii="Arial"/>
          <w:sz w:val="14"/>
        </w:rPr>
        <w:t xml:space="preserve">Email: </w:t>
      </w:r>
      <w:hyperlink r:id="rId14" w:history="1">
        <w:r w:rsidR="00B5558E" w:rsidRPr="00075817">
          <w:rPr>
            <w:rStyle w:val="Hipervnculo"/>
            <w:rFonts w:ascii="Arial"/>
            <w:sz w:val="14"/>
          </w:rPr>
          <w:t>arekondo@cidetec.</w:t>
        </w:r>
      </w:hyperlink>
      <w:r w:rsidR="00B5558E">
        <w:rPr>
          <w:rStyle w:val="Hipervnculo"/>
          <w:rFonts w:ascii="Arial"/>
          <w:sz w:val="14"/>
        </w:rPr>
        <w:t>es</w:t>
      </w:r>
    </w:p>
    <w:p w:rsidR="00AE3E37" w:rsidRDefault="00292ED9">
      <w:pPr>
        <w:pStyle w:val="Textoindependiente"/>
        <w:spacing w:before="2"/>
        <w:rPr>
          <w:rFonts w:ascii="Arial"/>
          <w:sz w:val="19"/>
        </w:rPr>
      </w:pPr>
      <w:r>
        <w:rPr>
          <w:noProof/>
          <w:lang w:val="es-ES" w:eastAsia="es-ES"/>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35B3CB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rsidR="00F046EA" w:rsidRPr="0013708E" w:rsidRDefault="00F046EA" w:rsidP="00F046EA">
      <w:pPr>
        <w:jc w:val="both"/>
        <w:rPr>
          <w:b/>
        </w:rPr>
      </w:pPr>
      <w:r w:rsidRPr="0013708E">
        <w:rPr>
          <w:b/>
        </w:rPr>
        <w:t xml:space="preserve">Presenting author details </w:t>
      </w:r>
    </w:p>
    <w:p w:rsidR="00F046EA" w:rsidRPr="0013708E" w:rsidRDefault="00F046EA" w:rsidP="00F046EA">
      <w:pPr>
        <w:jc w:val="both"/>
      </w:pPr>
      <w:r w:rsidRPr="0013708E">
        <w:t xml:space="preserve">Full name: </w:t>
      </w:r>
      <w:r w:rsidR="007F05EF">
        <w:t>Alaitz Rekondo</w:t>
      </w:r>
    </w:p>
    <w:p w:rsidR="00F046EA" w:rsidRDefault="00F046EA" w:rsidP="00F046EA">
      <w:pPr>
        <w:jc w:val="both"/>
      </w:pPr>
      <w:r w:rsidRPr="0013708E">
        <w:t>Contact number:</w:t>
      </w:r>
      <w:r w:rsidR="007F05EF">
        <w:t xml:space="preserve"> +34 943 309 022</w:t>
      </w:r>
    </w:p>
    <w:p w:rsidR="00F046EA" w:rsidRPr="0013708E" w:rsidRDefault="00F046EA" w:rsidP="00F046EA">
      <w:pPr>
        <w:jc w:val="both"/>
      </w:pPr>
      <w:r>
        <w:t xml:space="preserve">Mail id: </w:t>
      </w:r>
      <w:r w:rsidR="007F05EF">
        <w:t>arekondo@cidetec.es</w:t>
      </w:r>
    </w:p>
    <w:p w:rsidR="00F046EA" w:rsidRDefault="007F05EF" w:rsidP="00F046EA">
      <w:pPr>
        <w:jc w:val="both"/>
      </w:pPr>
      <w:r>
        <w:t xml:space="preserve">Category: </w:t>
      </w:r>
      <w:r w:rsidR="00F046EA" w:rsidRPr="0013708E">
        <w:t>Oral pr</w:t>
      </w:r>
      <w:r>
        <w:t>esentation</w:t>
      </w:r>
      <w:r w:rsidR="00F046EA">
        <w:t xml:space="preserve"> </w:t>
      </w:r>
    </w:p>
    <w:p w:rsidR="00AE3E37" w:rsidRDefault="00AE3E37">
      <w:pPr>
        <w:pStyle w:val="Textoindependiente"/>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0E66" w:rsidRDefault="00270E66">
      <w:r>
        <w:separator/>
      </w:r>
    </w:p>
  </w:endnote>
  <w:endnote w:type="continuationSeparator" w:id="0">
    <w:p w:rsidR="00270E66" w:rsidRDefault="00270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Textoindependiente"/>
      <w:spacing w:line="14" w:lineRule="auto"/>
      <w:rPr>
        <w:sz w:val="20"/>
      </w:rPr>
    </w:pPr>
    <w:r>
      <w:rPr>
        <w:noProof/>
        <w:lang w:val="es-ES" w:eastAsia="es-ES"/>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 w:eastAsia="es-ES"/>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0E66" w:rsidRDefault="00270E66">
      <w:r>
        <w:separator/>
      </w:r>
    </w:p>
  </w:footnote>
  <w:footnote w:type="continuationSeparator" w:id="0">
    <w:p w:rsidR="00270E66" w:rsidRDefault="00270E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defaultTabStop w:val="720"/>
  <w:hyphenationZone w:val="425"/>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732C"/>
    <w:rsid w:val="000E2911"/>
    <w:rsid w:val="001263DF"/>
    <w:rsid w:val="001B2B82"/>
    <w:rsid w:val="00270E66"/>
    <w:rsid w:val="00292ED9"/>
    <w:rsid w:val="00351D9B"/>
    <w:rsid w:val="00380299"/>
    <w:rsid w:val="00404E5B"/>
    <w:rsid w:val="00414F6A"/>
    <w:rsid w:val="00414F7B"/>
    <w:rsid w:val="004355DC"/>
    <w:rsid w:val="004749B4"/>
    <w:rsid w:val="00494130"/>
    <w:rsid w:val="004B73AC"/>
    <w:rsid w:val="004C0C3B"/>
    <w:rsid w:val="004F3523"/>
    <w:rsid w:val="00573D87"/>
    <w:rsid w:val="005973B9"/>
    <w:rsid w:val="005B3A56"/>
    <w:rsid w:val="005C65B3"/>
    <w:rsid w:val="006060CE"/>
    <w:rsid w:val="0061505C"/>
    <w:rsid w:val="0063497F"/>
    <w:rsid w:val="006761EB"/>
    <w:rsid w:val="00684B87"/>
    <w:rsid w:val="00714354"/>
    <w:rsid w:val="0075292F"/>
    <w:rsid w:val="007F05EF"/>
    <w:rsid w:val="0080579F"/>
    <w:rsid w:val="00861D2A"/>
    <w:rsid w:val="00873DF0"/>
    <w:rsid w:val="008756E6"/>
    <w:rsid w:val="008952BA"/>
    <w:rsid w:val="00897EC5"/>
    <w:rsid w:val="008E5477"/>
    <w:rsid w:val="009A540C"/>
    <w:rsid w:val="009B2BE0"/>
    <w:rsid w:val="009B2D44"/>
    <w:rsid w:val="009E6E61"/>
    <w:rsid w:val="00A07E82"/>
    <w:rsid w:val="00A4180F"/>
    <w:rsid w:val="00A52075"/>
    <w:rsid w:val="00A9710C"/>
    <w:rsid w:val="00AE3E37"/>
    <w:rsid w:val="00AE43BC"/>
    <w:rsid w:val="00B05CA7"/>
    <w:rsid w:val="00B21A57"/>
    <w:rsid w:val="00B227E7"/>
    <w:rsid w:val="00B5558E"/>
    <w:rsid w:val="00C03C14"/>
    <w:rsid w:val="00C33602"/>
    <w:rsid w:val="00C56C74"/>
    <w:rsid w:val="00CD6F55"/>
    <w:rsid w:val="00D373CB"/>
    <w:rsid w:val="00D72BA2"/>
    <w:rsid w:val="00DE3104"/>
    <w:rsid w:val="00DE6170"/>
    <w:rsid w:val="00E0665C"/>
    <w:rsid w:val="00E30AAC"/>
    <w:rsid w:val="00E95D97"/>
    <w:rsid w:val="00ED5719"/>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customStyle="1" w:styleId="Maintext">
    <w:name w:val="Main text"/>
    <w:basedOn w:val="Normal"/>
    <w:link w:val="MaintextChar"/>
    <w:autoRedefine/>
    <w:rsid w:val="00684B87"/>
    <w:pPr>
      <w:widowControl/>
      <w:spacing w:line="480" w:lineRule="auto"/>
      <w:jc w:val="both"/>
    </w:pPr>
    <w:rPr>
      <w:rFonts w:ascii="Times New Roman" w:eastAsia="MS Mincho" w:hAnsi="Times New Roman" w:cs="Times New Roman"/>
      <w:sz w:val="24"/>
      <w:szCs w:val="24"/>
      <w:lang w:eastAsia="ja-JP"/>
    </w:rPr>
  </w:style>
  <w:style w:type="character" w:customStyle="1" w:styleId="MaintextChar">
    <w:name w:val="Main text Char"/>
    <w:link w:val="Maintext"/>
    <w:rsid w:val="00684B87"/>
    <w:rPr>
      <w:rFonts w:ascii="Times New Roman" w:eastAsia="MS Mincho" w:hAnsi="Times New Roman" w:cs="Times New Roman"/>
      <w:sz w:val="24"/>
      <w:szCs w:val="24"/>
      <w:lang w:eastAsia="ja-JP"/>
    </w:rPr>
  </w:style>
  <w:style w:type="paragraph" w:styleId="Textonotapie">
    <w:name w:val="footnote text"/>
    <w:basedOn w:val="Normal"/>
    <w:link w:val="TextonotapieCar"/>
    <w:uiPriority w:val="99"/>
    <w:semiHidden/>
    <w:unhideWhenUsed/>
    <w:rsid w:val="006761EB"/>
    <w:rPr>
      <w:sz w:val="20"/>
      <w:szCs w:val="20"/>
    </w:rPr>
  </w:style>
  <w:style w:type="character" w:customStyle="1" w:styleId="TextonotapieCar">
    <w:name w:val="Texto nota pie Car"/>
    <w:basedOn w:val="Fuentedeprrafopredeter"/>
    <w:link w:val="Textonotapie"/>
    <w:uiPriority w:val="99"/>
    <w:semiHidden/>
    <w:rsid w:val="006761EB"/>
    <w:rPr>
      <w:rFonts w:ascii="Tw Cen MT" w:eastAsia="Tw Cen MT" w:hAnsi="Tw Cen MT" w:cs="Tw Cen MT"/>
      <w:sz w:val="20"/>
      <w:szCs w:val="20"/>
    </w:rPr>
  </w:style>
  <w:style w:type="character" w:styleId="Refdenotaalpie">
    <w:name w:val="footnote reference"/>
    <w:basedOn w:val="Fuentedeprrafopredeter"/>
    <w:uiPriority w:val="99"/>
    <w:semiHidden/>
    <w:unhideWhenUsed/>
    <w:rsid w:val="006761EB"/>
    <w:rPr>
      <w:vertAlign w:val="superscript"/>
    </w:rPr>
  </w:style>
  <w:style w:type="paragraph" w:styleId="Textonotaalfinal">
    <w:name w:val="endnote text"/>
    <w:basedOn w:val="Normal"/>
    <w:link w:val="TextonotaalfinalCar"/>
    <w:uiPriority w:val="99"/>
    <w:semiHidden/>
    <w:unhideWhenUsed/>
    <w:rsid w:val="006761EB"/>
    <w:rPr>
      <w:sz w:val="20"/>
      <w:szCs w:val="20"/>
    </w:rPr>
  </w:style>
  <w:style w:type="character" w:customStyle="1" w:styleId="TextonotaalfinalCar">
    <w:name w:val="Texto nota al final Car"/>
    <w:basedOn w:val="Fuentedeprrafopredeter"/>
    <w:link w:val="Textonotaalfinal"/>
    <w:uiPriority w:val="99"/>
    <w:semiHidden/>
    <w:rsid w:val="006761EB"/>
    <w:rPr>
      <w:rFonts w:ascii="Tw Cen MT" w:eastAsia="Tw Cen MT" w:hAnsi="Tw Cen MT" w:cs="Tw Cen MT"/>
      <w:sz w:val="20"/>
      <w:szCs w:val="20"/>
    </w:rPr>
  </w:style>
  <w:style w:type="character" w:styleId="Refdenotaalfinal">
    <w:name w:val="endnote reference"/>
    <w:basedOn w:val="Fuentedeprrafopredeter"/>
    <w:uiPriority w:val="99"/>
    <w:semiHidden/>
    <w:unhideWhenUsed/>
    <w:rsid w:val="006761E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customStyle="1" w:styleId="Maintext">
    <w:name w:val="Main text"/>
    <w:basedOn w:val="Normal"/>
    <w:link w:val="MaintextChar"/>
    <w:autoRedefine/>
    <w:rsid w:val="00684B87"/>
    <w:pPr>
      <w:widowControl/>
      <w:spacing w:line="480" w:lineRule="auto"/>
      <w:jc w:val="both"/>
    </w:pPr>
    <w:rPr>
      <w:rFonts w:ascii="Times New Roman" w:eastAsia="MS Mincho" w:hAnsi="Times New Roman" w:cs="Times New Roman"/>
      <w:sz w:val="24"/>
      <w:szCs w:val="24"/>
      <w:lang w:eastAsia="ja-JP"/>
    </w:rPr>
  </w:style>
  <w:style w:type="character" w:customStyle="1" w:styleId="MaintextChar">
    <w:name w:val="Main text Char"/>
    <w:link w:val="Maintext"/>
    <w:rsid w:val="00684B87"/>
    <w:rPr>
      <w:rFonts w:ascii="Times New Roman" w:eastAsia="MS Mincho" w:hAnsi="Times New Roman" w:cs="Times New Roman"/>
      <w:sz w:val="24"/>
      <w:szCs w:val="24"/>
      <w:lang w:eastAsia="ja-JP"/>
    </w:rPr>
  </w:style>
  <w:style w:type="paragraph" w:styleId="Textonotapie">
    <w:name w:val="footnote text"/>
    <w:basedOn w:val="Normal"/>
    <w:link w:val="TextonotapieCar"/>
    <w:uiPriority w:val="99"/>
    <w:semiHidden/>
    <w:unhideWhenUsed/>
    <w:rsid w:val="006761EB"/>
    <w:rPr>
      <w:sz w:val="20"/>
      <w:szCs w:val="20"/>
    </w:rPr>
  </w:style>
  <w:style w:type="character" w:customStyle="1" w:styleId="TextonotapieCar">
    <w:name w:val="Texto nota pie Car"/>
    <w:basedOn w:val="Fuentedeprrafopredeter"/>
    <w:link w:val="Textonotapie"/>
    <w:uiPriority w:val="99"/>
    <w:semiHidden/>
    <w:rsid w:val="006761EB"/>
    <w:rPr>
      <w:rFonts w:ascii="Tw Cen MT" w:eastAsia="Tw Cen MT" w:hAnsi="Tw Cen MT" w:cs="Tw Cen MT"/>
      <w:sz w:val="20"/>
      <w:szCs w:val="20"/>
    </w:rPr>
  </w:style>
  <w:style w:type="character" w:styleId="Refdenotaalpie">
    <w:name w:val="footnote reference"/>
    <w:basedOn w:val="Fuentedeprrafopredeter"/>
    <w:uiPriority w:val="99"/>
    <w:semiHidden/>
    <w:unhideWhenUsed/>
    <w:rsid w:val="006761EB"/>
    <w:rPr>
      <w:vertAlign w:val="superscript"/>
    </w:rPr>
  </w:style>
  <w:style w:type="paragraph" w:styleId="Textonotaalfinal">
    <w:name w:val="endnote text"/>
    <w:basedOn w:val="Normal"/>
    <w:link w:val="TextonotaalfinalCar"/>
    <w:uiPriority w:val="99"/>
    <w:semiHidden/>
    <w:unhideWhenUsed/>
    <w:rsid w:val="006761EB"/>
    <w:rPr>
      <w:sz w:val="20"/>
      <w:szCs w:val="20"/>
    </w:rPr>
  </w:style>
  <w:style w:type="character" w:customStyle="1" w:styleId="TextonotaalfinalCar">
    <w:name w:val="Texto nota al final Car"/>
    <w:basedOn w:val="Fuentedeprrafopredeter"/>
    <w:link w:val="Textonotaalfinal"/>
    <w:uiPriority w:val="99"/>
    <w:semiHidden/>
    <w:rsid w:val="006761EB"/>
    <w:rPr>
      <w:rFonts w:ascii="Tw Cen MT" w:eastAsia="Tw Cen MT" w:hAnsi="Tw Cen MT" w:cs="Tw Cen MT"/>
      <w:sz w:val="20"/>
      <w:szCs w:val="20"/>
    </w:rPr>
  </w:style>
  <w:style w:type="character" w:styleId="Refdenotaalfinal">
    <w:name w:val="endnote reference"/>
    <w:basedOn w:val="Fuentedeprrafopredeter"/>
    <w:uiPriority w:val="99"/>
    <w:semiHidden/>
    <w:unhideWhenUsed/>
    <w:rsid w:val="006761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0.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jpg"/><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mailto:arekondo@cidet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EBD2FF-E56C-4E03-950D-F6E2DED82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569</Words>
  <Characters>3134</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Alaitz Rekondo</cp:lastModifiedBy>
  <cp:revision>2</cp:revision>
  <dcterms:created xsi:type="dcterms:W3CDTF">2017-11-28T08:57:00Z</dcterms:created>
  <dcterms:modified xsi:type="dcterms:W3CDTF">2017-11-28T08:57:00Z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