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C8713C" w:rsidRPr="00E375BC" w:rsidRDefault="00FC37DB" w:rsidP="001C6C39">
      <w:pPr>
        <w:pStyle w:val="Heading2"/>
        <w:jc w:val="both"/>
        <w:rPr>
          <w:rFonts w:eastAsia="Times New Roman"/>
          <w:b/>
          <w:lang w:eastAsia="en-IN"/>
        </w:rPr>
      </w:pPr>
      <w:r w:rsidRPr="004A0988">
        <w:rPr>
          <w:rFonts w:eastAsia="Times New Roman"/>
          <w:b/>
          <w:lang w:eastAsia="en-IN"/>
        </w:rPr>
        <w:t>Title of the Abstract:</w:t>
      </w:r>
      <w:r w:rsidR="00C8713C">
        <w:rPr>
          <w:rFonts w:eastAsia="Times New Roman"/>
          <w:b/>
          <w:lang w:eastAsia="en-IN"/>
        </w:rPr>
        <w:t xml:space="preserve"> </w:t>
      </w:r>
      <w:r w:rsidR="001C6C39">
        <w:rPr>
          <w:rFonts w:eastAsia="Times New Roman"/>
          <w:b/>
          <w:lang w:eastAsia="en-IN"/>
        </w:rPr>
        <w:t xml:space="preserve"> </w:t>
      </w:r>
      <w:r w:rsidR="00C8713C" w:rsidRPr="00C8713C">
        <w:rPr>
          <w:rFonts w:cstheme="minorHAnsi"/>
          <w:b/>
          <w:bCs/>
          <w:color w:val="231F20"/>
        </w:rPr>
        <w:t xml:space="preserve">Fusion </w:t>
      </w:r>
      <w:r w:rsidR="00C8713C" w:rsidRPr="00C8713C">
        <w:rPr>
          <w:rFonts w:cstheme="minorHAnsi"/>
          <w:b/>
          <w:bCs/>
          <w:color w:val="231F20"/>
          <w:rtl/>
        </w:rPr>
        <w:t>behavior</w:t>
      </w:r>
      <w:r w:rsidR="00C8713C" w:rsidRPr="00C8713C">
        <w:rPr>
          <w:rFonts w:cstheme="minorHAnsi"/>
          <w:b/>
          <w:bCs/>
          <w:color w:val="231F20"/>
        </w:rPr>
        <w:t xml:space="preserve"> of the PVC/XNBR/nanoclay nanocomposites</w:t>
      </w:r>
    </w:p>
    <w:p w:rsidR="00C8713C" w:rsidRPr="00470683" w:rsidRDefault="00FC37DB" w:rsidP="001C6C39">
      <w:pPr>
        <w:autoSpaceDE w:val="0"/>
        <w:autoSpaceDN w:val="0"/>
        <w:adjustRightInd w:val="0"/>
        <w:spacing w:after="0" w:line="360" w:lineRule="auto"/>
        <w:jc w:val="both"/>
        <w:rPr>
          <w:rFonts w:asciiTheme="majorBidi" w:hAnsiTheme="majorBidi" w:cstheme="majorBidi"/>
          <w:color w:val="131413"/>
          <w:sz w:val="24"/>
          <w:szCs w:val="24"/>
        </w:rPr>
      </w:pPr>
      <w:r w:rsidRPr="004A0988">
        <w:rPr>
          <w:rFonts w:ascii="Times New Roman" w:eastAsia="Times New Roman" w:hAnsi="Times New Roman" w:cs="Times New Roman"/>
          <w:i/>
          <w:color w:val="0070C0"/>
          <w:sz w:val="25"/>
          <w:szCs w:val="25"/>
          <w:lang w:eastAsia="en-IN"/>
        </w:rPr>
        <w:t>Author Name:</w:t>
      </w:r>
      <w:r w:rsidR="00C8713C" w:rsidRPr="00C8713C">
        <w:rPr>
          <w:rFonts w:asciiTheme="majorBidi" w:hAnsiTheme="majorBidi" w:cstheme="majorBidi"/>
          <w:color w:val="131413"/>
          <w:sz w:val="24"/>
          <w:szCs w:val="24"/>
          <w:u w:val="single"/>
        </w:rPr>
        <w:t xml:space="preserve"> </w:t>
      </w:r>
      <w:r w:rsidR="00C8713C" w:rsidRPr="001C6C39">
        <w:rPr>
          <w:rFonts w:asciiTheme="majorBidi" w:hAnsiTheme="majorBidi" w:cstheme="majorBidi"/>
          <w:i/>
          <w:iCs/>
          <w:color w:val="131413"/>
          <w:sz w:val="25"/>
          <w:szCs w:val="25"/>
          <w:u w:val="single"/>
        </w:rPr>
        <w:t>Ali Reza Zanjanijam</w:t>
      </w:r>
      <w:r w:rsidR="00C8713C" w:rsidRPr="001C6C39">
        <w:rPr>
          <w:rFonts w:asciiTheme="majorBidi" w:hAnsiTheme="majorBidi" w:cstheme="majorBidi"/>
          <w:i/>
          <w:iCs/>
          <w:color w:val="131413"/>
          <w:sz w:val="25"/>
          <w:szCs w:val="25"/>
          <w:u w:val="single"/>
          <w:vertAlign w:val="superscript"/>
        </w:rPr>
        <w:t>1</w:t>
      </w:r>
      <w:r w:rsidR="00C8713C" w:rsidRPr="001C6C39">
        <w:rPr>
          <w:rFonts w:asciiTheme="majorBidi" w:hAnsiTheme="majorBidi" w:cstheme="majorBidi"/>
          <w:i/>
          <w:iCs/>
          <w:color w:val="131413"/>
          <w:sz w:val="25"/>
          <w:szCs w:val="25"/>
          <w:vertAlign w:val="superscript"/>
        </w:rPr>
        <w:t xml:space="preserve"> </w:t>
      </w:r>
      <w:r w:rsidR="00C8713C" w:rsidRPr="001C6C39">
        <w:rPr>
          <w:rFonts w:asciiTheme="majorBidi" w:hAnsiTheme="majorBidi" w:cstheme="majorBidi"/>
          <w:i/>
          <w:iCs/>
          <w:color w:val="231F20"/>
          <w:sz w:val="25"/>
          <w:szCs w:val="25"/>
        </w:rPr>
        <w:t>and Mehdi Moghri</w:t>
      </w:r>
      <w:r w:rsidR="00C8713C" w:rsidRPr="001C6C39">
        <w:rPr>
          <w:rFonts w:asciiTheme="majorBidi" w:hAnsiTheme="majorBidi" w:cstheme="majorBidi"/>
          <w:i/>
          <w:iCs/>
          <w:color w:val="231F20"/>
          <w:sz w:val="25"/>
          <w:szCs w:val="25"/>
          <w:vertAlign w:val="superscript"/>
        </w:rPr>
        <w:t>2</w:t>
      </w:r>
      <w:r w:rsidR="00C8713C" w:rsidRPr="001C6C39">
        <w:rPr>
          <w:rFonts w:asciiTheme="majorBidi" w:hAnsiTheme="majorBidi" w:cstheme="majorBidi"/>
          <w:i/>
          <w:iCs/>
          <w:color w:val="131413"/>
          <w:sz w:val="25"/>
          <w:szCs w:val="25"/>
        </w:rPr>
        <w:t>*</w:t>
      </w:r>
    </w:p>
    <w:p w:rsidR="00FC37DB" w:rsidRPr="004A0988" w:rsidRDefault="00FC37DB" w:rsidP="001C6C39">
      <w:pPr>
        <w:spacing w:after="0" w:line="240" w:lineRule="auto"/>
        <w:jc w:val="both"/>
        <w:rPr>
          <w:rFonts w:ascii="Times New Roman" w:eastAsia="Times New Roman" w:hAnsi="Times New Roman" w:cs="Times New Roman"/>
          <w:i/>
          <w:color w:val="0070C0"/>
          <w:sz w:val="25"/>
          <w:szCs w:val="25"/>
          <w:lang w:eastAsia="en-IN"/>
        </w:rPr>
      </w:pPr>
    </w:p>
    <w:p w:rsidR="00C8713C" w:rsidRPr="001C6C39" w:rsidRDefault="00FC37DB" w:rsidP="001C6C39">
      <w:pPr>
        <w:autoSpaceDE w:val="0"/>
        <w:autoSpaceDN w:val="0"/>
        <w:adjustRightInd w:val="0"/>
        <w:spacing w:after="0" w:line="360" w:lineRule="auto"/>
        <w:jc w:val="both"/>
        <w:rPr>
          <w:rFonts w:asciiTheme="majorBidi" w:hAnsiTheme="majorBidi" w:cstheme="majorBidi"/>
          <w:i/>
          <w:iCs/>
          <w:color w:val="000000" w:themeColor="text1"/>
          <w:sz w:val="25"/>
          <w:szCs w:val="25"/>
        </w:rPr>
      </w:pPr>
      <w:r w:rsidRPr="004A0988">
        <w:rPr>
          <w:rFonts w:ascii="Times New Roman" w:eastAsia="Times New Roman" w:hAnsi="Times New Roman" w:cs="Times New Roman"/>
          <w:i/>
          <w:color w:val="0070C0"/>
          <w:sz w:val="25"/>
          <w:szCs w:val="25"/>
          <w:lang w:eastAsia="en-IN"/>
        </w:rPr>
        <w:t>Affiliation:</w:t>
      </w:r>
      <w:r w:rsidR="00C8713C" w:rsidRPr="00C8713C">
        <w:rPr>
          <w:rFonts w:asciiTheme="majorBidi" w:hAnsiTheme="majorBidi" w:cstheme="majorBidi"/>
          <w:i/>
          <w:iCs/>
          <w:color w:val="231F20"/>
          <w:sz w:val="20"/>
          <w:szCs w:val="20"/>
          <w:vertAlign w:val="superscript"/>
        </w:rPr>
        <w:t xml:space="preserve"> </w:t>
      </w:r>
      <w:r w:rsidR="00C8713C" w:rsidRPr="001C6C39">
        <w:rPr>
          <w:rFonts w:asciiTheme="majorBidi" w:hAnsiTheme="majorBidi" w:cstheme="majorBidi"/>
          <w:i/>
          <w:iCs/>
          <w:color w:val="000000" w:themeColor="text1"/>
          <w:sz w:val="25"/>
          <w:szCs w:val="25"/>
          <w:vertAlign w:val="superscript"/>
        </w:rPr>
        <w:t>1</w:t>
      </w:r>
      <w:r w:rsidR="00C8713C" w:rsidRPr="001C6C39">
        <w:rPr>
          <w:rFonts w:asciiTheme="majorBidi" w:hAnsiTheme="majorBidi" w:cstheme="majorBidi"/>
          <w:i/>
          <w:iCs/>
          <w:color w:val="000000" w:themeColor="text1"/>
          <w:sz w:val="25"/>
          <w:szCs w:val="25"/>
        </w:rPr>
        <w:t>Young Researchers and Elite Club, West Tehran Branch, Islamic Azad University, Tehran, Iran</w:t>
      </w:r>
      <w:r w:rsidR="00DA375B">
        <w:rPr>
          <w:rFonts w:asciiTheme="majorBidi" w:hAnsiTheme="majorBidi" w:cstheme="majorBidi"/>
          <w:i/>
          <w:iCs/>
          <w:color w:val="000000" w:themeColor="text1"/>
          <w:sz w:val="25"/>
          <w:szCs w:val="25"/>
        </w:rPr>
        <w:t>.</w:t>
      </w:r>
    </w:p>
    <w:p w:rsidR="00C8713C" w:rsidRPr="001C6C39" w:rsidRDefault="00C8713C" w:rsidP="001C6C39">
      <w:pPr>
        <w:spacing w:line="360" w:lineRule="auto"/>
        <w:jc w:val="both"/>
        <w:rPr>
          <w:rFonts w:asciiTheme="majorBidi" w:hAnsiTheme="majorBidi" w:cstheme="majorBidi"/>
          <w:i/>
          <w:iCs/>
          <w:color w:val="000000" w:themeColor="text1"/>
          <w:sz w:val="25"/>
          <w:szCs w:val="25"/>
          <w:vertAlign w:val="superscript"/>
          <w:lang w:bidi="fa-IR"/>
        </w:rPr>
      </w:pPr>
      <w:r w:rsidRPr="001C6C39">
        <w:rPr>
          <w:rFonts w:asciiTheme="majorBidi" w:hAnsiTheme="majorBidi" w:cstheme="majorBidi"/>
          <w:i/>
          <w:iCs/>
          <w:color w:val="000000" w:themeColor="text1"/>
          <w:sz w:val="25"/>
          <w:szCs w:val="25"/>
          <w:vertAlign w:val="superscript"/>
        </w:rPr>
        <w:t>2</w:t>
      </w:r>
      <w:r w:rsidRPr="001C6C39">
        <w:rPr>
          <w:rFonts w:asciiTheme="majorBidi" w:hAnsiTheme="majorBidi" w:cstheme="majorBidi"/>
          <w:i/>
          <w:iCs/>
          <w:color w:val="000000" w:themeColor="text1"/>
          <w:sz w:val="25"/>
          <w:szCs w:val="25"/>
        </w:rPr>
        <w:t>Polymer Engineering Department, Engineering Faculty, Kashan Branch, Islamic Azad University, Kashan, Iran</w:t>
      </w:r>
      <w:r w:rsidR="00DA375B">
        <w:rPr>
          <w:rFonts w:asciiTheme="majorBidi" w:hAnsiTheme="majorBidi" w:cstheme="majorBidi"/>
          <w:i/>
          <w:iCs/>
          <w:color w:val="000000" w:themeColor="text1"/>
          <w:sz w:val="25"/>
          <w:szCs w:val="25"/>
        </w:rPr>
        <w:t>.</w:t>
      </w:r>
    </w:p>
    <w:p w:rsidR="006829C9" w:rsidRPr="00171EBD" w:rsidRDefault="00DA375B" w:rsidP="004A0988">
      <w:pPr>
        <w:pStyle w:val="Heading1"/>
        <w:rPr>
          <w:rFonts w:eastAsia="Times New Roman"/>
          <w:u w:val="single"/>
          <w:lang w:eastAsia="en-IN"/>
        </w:rPr>
      </w:pPr>
      <w:r>
        <w:rPr>
          <w:rFonts w:eastAsia="Times New Roman"/>
          <w:u w:val="single"/>
          <w:lang w:eastAsia="en-IN"/>
        </w:rPr>
        <w:t>Abstract:</w:t>
      </w:r>
    </w:p>
    <w:p w:rsidR="00C8713C" w:rsidRPr="00C8713C" w:rsidRDefault="00C8713C" w:rsidP="00C8713C">
      <w:pPr>
        <w:spacing w:after="0" w:line="240" w:lineRule="auto"/>
        <w:jc w:val="both"/>
        <w:rPr>
          <w:rFonts w:asciiTheme="majorBidi" w:eastAsia="AdvP6975" w:hAnsiTheme="majorBidi" w:cstheme="majorBidi"/>
          <w:color w:val="231F20"/>
          <w:sz w:val="25"/>
          <w:szCs w:val="25"/>
        </w:rPr>
      </w:pPr>
      <w:r w:rsidRPr="00C8713C">
        <w:rPr>
          <w:rFonts w:asciiTheme="majorBidi" w:eastAsia="AdvP6975" w:hAnsiTheme="majorBidi" w:cstheme="majorBidi"/>
          <w:sz w:val="25"/>
          <w:szCs w:val="25"/>
        </w:rPr>
        <w:t xml:space="preserve">Fusion </w:t>
      </w:r>
      <w:r w:rsidR="00DA375B" w:rsidRPr="00C8713C">
        <w:rPr>
          <w:rFonts w:asciiTheme="majorBidi" w:eastAsia="AdvP6975" w:hAnsiTheme="majorBidi" w:cstheme="majorBidi"/>
          <w:sz w:val="25"/>
          <w:szCs w:val="25"/>
        </w:rPr>
        <w:t>behaviour</w:t>
      </w:r>
      <w:r w:rsidRPr="00C8713C">
        <w:rPr>
          <w:rFonts w:asciiTheme="majorBidi" w:eastAsia="AdvP6975" w:hAnsiTheme="majorBidi" w:cstheme="majorBidi"/>
          <w:sz w:val="25"/>
          <w:szCs w:val="25"/>
        </w:rPr>
        <w:t xml:space="preserve"> plays a key role in processing and mechanical properties of the PVC compounds</w:t>
      </w:r>
      <w:r w:rsidRPr="00C8713C">
        <w:rPr>
          <w:rFonts w:asciiTheme="majorBidi" w:eastAsia="AdvP6975" w:hAnsiTheme="majorBidi" w:cstheme="majorBidi"/>
          <w:color w:val="231F20"/>
          <w:sz w:val="25"/>
          <w:szCs w:val="25"/>
        </w:rPr>
        <w:t xml:space="preserve"> </w:t>
      </w:r>
      <w:r w:rsidR="00594A1B" w:rsidRPr="00C8713C">
        <w:rPr>
          <w:rFonts w:asciiTheme="majorBidi" w:eastAsia="AdvP6975" w:hAnsiTheme="majorBidi" w:cstheme="majorBidi"/>
          <w:color w:val="231F20"/>
          <w:sz w:val="25"/>
          <w:szCs w:val="25"/>
        </w:rPr>
        <w:fldChar w:fldCharType="begin" w:fldLock="1"/>
      </w:r>
      <w:r w:rsidRPr="00C8713C">
        <w:rPr>
          <w:rFonts w:asciiTheme="majorBidi" w:eastAsia="AdvP6975" w:hAnsiTheme="majorBidi" w:cstheme="majorBidi"/>
          <w:color w:val="231F20"/>
          <w:sz w:val="25"/>
          <w:szCs w:val="25"/>
        </w:rPr>
        <w:instrText>ADDIN CSL_CITATION { "citationItems" : [ { "id" : "ITEM-1", "itemData" : { "ISSN" : "1548-0585", "author" : [ { "dropping-particle" : "", "family" : "Moghri", "given" : "M", "non-dropping-particle" : "", "parse-names" : false, "suffix" : "" }, { "dropping-particle" : "", "family" : "Garmabi", "given" : "H", "non-dropping-particle" : "", "parse-names" : false, "suffix" : "" }, { "dropping-particle" : "", "family" : "Akbarian", "given" : "M", "non-dropping-particle" : "", "parse-names" : false, "suffix" : "" } ], "container-title" : "Journal of Vinyl and Additive Technology", "id" : "ITEM-1", "issue" : "2", "issued" : { "date-parts" : [ [ "2008" ] ] }, "page" : "73-78", "publisher" : "Wiley Online Library", "title" : "Effects of additives on fusion parameters of rigid PVC formulations", "type" : "article-journal", "volume" : "14" }, "uris" : [ "http://www.mendeley.com/documents/?uuid=01473116-bd81-4f29-a6f8-cb908f352bcf" ] } ], "mendeley" : { "formattedCitation" : "[1]", "plainTextFormattedCitation" : "[1]", "previouslyFormattedCitation" : "[31]" }, "properties" : { "noteIndex" : 0 }, "schema" : "https://github.com/citation-style-language/schema/raw/master/csl-citation.json" }</w:instrText>
      </w:r>
      <w:r w:rsidR="00594A1B" w:rsidRPr="00C8713C">
        <w:rPr>
          <w:rFonts w:asciiTheme="majorBidi" w:eastAsia="AdvP6975" w:hAnsiTheme="majorBidi" w:cstheme="majorBidi"/>
          <w:color w:val="231F20"/>
          <w:sz w:val="25"/>
          <w:szCs w:val="25"/>
        </w:rPr>
        <w:fldChar w:fldCharType="separate"/>
      </w:r>
      <w:r w:rsidRPr="00C8713C">
        <w:rPr>
          <w:rFonts w:asciiTheme="majorBidi" w:eastAsia="AdvP6975" w:hAnsiTheme="majorBidi" w:cstheme="majorBidi"/>
          <w:noProof/>
          <w:color w:val="231F20"/>
          <w:sz w:val="25"/>
          <w:szCs w:val="25"/>
        </w:rPr>
        <w:t>[1]</w:t>
      </w:r>
      <w:r w:rsidR="00594A1B" w:rsidRPr="00C8713C">
        <w:rPr>
          <w:rFonts w:asciiTheme="majorBidi" w:eastAsia="AdvP6975" w:hAnsiTheme="majorBidi" w:cstheme="majorBidi"/>
          <w:color w:val="231F20"/>
          <w:sz w:val="25"/>
          <w:szCs w:val="25"/>
        </w:rPr>
        <w:fldChar w:fldCharType="end"/>
      </w:r>
      <w:r w:rsidRPr="00C8713C">
        <w:rPr>
          <w:rFonts w:asciiTheme="majorBidi" w:eastAsia="AdvP6975" w:hAnsiTheme="majorBidi" w:cstheme="majorBidi"/>
          <w:color w:val="231F20"/>
          <w:sz w:val="25"/>
          <w:szCs w:val="25"/>
        </w:rPr>
        <w:t xml:space="preserve">. The ingredients of the PVC formulations and processing conditions can affect the fusion phenomenon </w:t>
      </w:r>
      <w:r w:rsidR="00594A1B" w:rsidRPr="00C8713C">
        <w:rPr>
          <w:rFonts w:asciiTheme="majorBidi" w:eastAsia="AdvP6975" w:hAnsiTheme="majorBidi" w:cstheme="majorBidi"/>
          <w:color w:val="231F20"/>
          <w:sz w:val="25"/>
          <w:szCs w:val="25"/>
        </w:rPr>
        <w:fldChar w:fldCharType="begin" w:fldLock="1"/>
      </w:r>
      <w:r w:rsidRPr="00C8713C">
        <w:rPr>
          <w:rFonts w:asciiTheme="majorBidi" w:eastAsia="AdvP6975" w:hAnsiTheme="majorBidi" w:cstheme="majorBidi"/>
          <w:color w:val="231F20"/>
          <w:sz w:val="25"/>
          <w:szCs w:val="25"/>
        </w:rPr>
        <w:instrText>ADDIN CSL_CITATION { "citationItems" : [ { "id" : "ITEM-1", "itemData" : { "ISSN" : "1548-0585", "author" : [ { "dropping-particle" : "", "family" : "Rabinovitch", "given" : "Elvira B", "non-dropping-particle" : "", "parse-names" : false, "suffix" : "" } ], "container-title" : "Journal of Vinyl Technology", "id" : "ITEM-1", "issue" : "2", "issued" : { "date-parts" : [ [ "1982" ] ] }, "page" : "62-66", "publisher" : "Wiley Online Library", "title" : "Poly (Vinyl chloride) processing morphology part II\u2014molecular effects on processing in the torque rheometer", "type" : "article-journal", "volume" : "4" }, "uris" : [ "http://www.mendeley.com/documents/?uuid=4a1d9f9e-793a-449d-b8ad-acd63960554d" ] }, { "id" : "ITEM-2", "itemData" : { "author" : [ { "dropping-particle" : "", "family" : "Yacykewych", "given" : "A.", "non-dropping-particle" : "", "parse-names" : false, "suffix" : "" } ], "container-title" : "SPE ANTEC Papers", "id" : "ITEM-2", "issued" : { "date-parts" : [ [ "2001" ] ] }, "page" : "5", "title" : "No Title", "type" : "paper-conference" }, "uris" : [ "http://www.mendeley.com/documents/?uuid=a72832e6-3246-4bc3-ac3d-0b2c0f001373" ] } ], "mendeley" : { "formattedCitation" : "[2,3]", "plainTextFormattedCitation" : "[2,3]", "previouslyFormattedCitation" : "[32,33]" }, "properties" : { "noteIndex" : 0 }, "schema" : "https://github.com/citation-style-language/schema/raw/master/csl-citation.json" }</w:instrText>
      </w:r>
      <w:r w:rsidR="00594A1B" w:rsidRPr="00C8713C">
        <w:rPr>
          <w:rFonts w:asciiTheme="majorBidi" w:eastAsia="AdvP6975" w:hAnsiTheme="majorBidi" w:cstheme="majorBidi"/>
          <w:color w:val="231F20"/>
          <w:sz w:val="25"/>
          <w:szCs w:val="25"/>
        </w:rPr>
        <w:fldChar w:fldCharType="separate"/>
      </w:r>
      <w:r w:rsidRPr="00C8713C">
        <w:rPr>
          <w:rFonts w:asciiTheme="majorBidi" w:eastAsia="AdvP6975" w:hAnsiTheme="majorBidi" w:cstheme="majorBidi"/>
          <w:noProof/>
          <w:color w:val="231F20"/>
          <w:sz w:val="25"/>
          <w:szCs w:val="25"/>
        </w:rPr>
        <w:t>[2,3]</w:t>
      </w:r>
      <w:r w:rsidR="00594A1B" w:rsidRPr="00C8713C">
        <w:rPr>
          <w:rFonts w:asciiTheme="majorBidi" w:eastAsia="AdvP6975" w:hAnsiTheme="majorBidi" w:cstheme="majorBidi"/>
          <w:color w:val="231F20"/>
          <w:sz w:val="25"/>
          <w:szCs w:val="25"/>
        </w:rPr>
        <w:fldChar w:fldCharType="end"/>
      </w:r>
      <w:r w:rsidRPr="00C8713C">
        <w:rPr>
          <w:rFonts w:asciiTheme="majorBidi" w:eastAsia="AdvP6975" w:hAnsiTheme="majorBidi" w:cstheme="majorBidi"/>
          <w:color w:val="231F20"/>
          <w:sz w:val="25"/>
          <w:szCs w:val="25"/>
        </w:rPr>
        <w:t>. This research presents preparation of the nanocomposites based on PVC/XNBR blends and investigates the effects of the different parameters</w:t>
      </w:r>
      <w:r w:rsidRPr="00C8713C">
        <w:rPr>
          <w:rFonts w:asciiTheme="majorBidi" w:hAnsiTheme="majorBidi" w:cstheme="majorBidi"/>
          <w:color w:val="231F20"/>
          <w:sz w:val="25"/>
          <w:szCs w:val="25"/>
        </w:rPr>
        <w:t xml:space="preserve"> on the fusion factor and fusion time of the samples using </w:t>
      </w:r>
      <w:r w:rsidRPr="00C8713C">
        <w:rPr>
          <w:rFonts w:asciiTheme="majorBidi" w:eastAsia="AdvP6975" w:hAnsiTheme="majorBidi" w:cstheme="majorBidi"/>
          <w:color w:val="231F20"/>
          <w:sz w:val="25"/>
          <w:szCs w:val="25"/>
        </w:rPr>
        <w:t>torque rheometery</w:t>
      </w:r>
      <w:r w:rsidRPr="00C8713C">
        <w:rPr>
          <w:rFonts w:asciiTheme="majorBidi" w:hAnsiTheme="majorBidi" w:cstheme="majorBidi"/>
          <w:color w:val="231F20"/>
          <w:sz w:val="25"/>
          <w:szCs w:val="25"/>
        </w:rPr>
        <w:t>.</w:t>
      </w:r>
      <w:r w:rsidRPr="00C8713C">
        <w:rPr>
          <w:rFonts w:asciiTheme="majorBidi" w:eastAsia="AdvP6975" w:hAnsiTheme="majorBidi" w:cstheme="majorBidi"/>
          <w:color w:val="231F20"/>
          <w:sz w:val="25"/>
          <w:szCs w:val="25"/>
        </w:rPr>
        <w:t xml:space="preserve"> The fusion factor is a practical indicator to compare efficiency of the different parameters in promoting fusion of the rigid PVC compounds. </w:t>
      </w:r>
    </w:p>
    <w:p w:rsidR="00C8713C" w:rsidRPr="00C8713C" w:rsidRDefault="00C8713C" w:rsidP="00AE4D50">
      <w:pPr>
        <w:spacing w:after="0" w:line="240" w:lineRule="auto"/>
        <w:jc w:val="both"/>
        <w:rPr>
          <w:rFonts w:asciiTheme="majorBidi" w:eastAsia="AdvP6975" w:hAnsiTheme="majorBidi" w:cstheme="majorBidi"/>
          <w:color w:val="231F20"/>
          <w:sz w:val="25"/>
          <w:szCs w:val="25"/>
        </w:rPr>
      </w:pPr>
      <w:r w:rsidRPr="00C8713C">
        <w:rPr>
          <w:rFonts w:asciiTheme="majorBidi" w:eastAsia="AdvP6975" w:hAnsiTheme="majorBidi" w:cstheme="majorBidi"/>
          <w:color w:val="231F20"/>
          <w:sz w:val="25"/>
          <w:szCs w:val="25"/>
        </w:rPr>
        <w:t xml:space="preserve">The findings indicated that </w:t>
      </w:r>
      <w:r w:rsidR="00DA375B">
        <w:rPr>
          <w:rFonts w:asciiTheme="majorBidi" w:eastAsia="AdvP6975" w:hAnsiTheme="majorBidi" w:cstheme="majorBidi"/>
          <w:color w:val="231F20"/>
          <w:sz w:val="25"/>
          <w:szCs w:val="25"/>
        </w:rPr>
        <w:t>to</w:t>
      </w:r>
      <w:r w:rsidRPr="00C8713C">
        <w:rPr>
          <w:rFonts w:asciiTheme="majorBidi" w:eastAsia="AdvP6975" w:hAnsiTheme="majorBidi" w:cstheme="majorBidi"/>
          <w:color w:val="231F20"/>
          <w:sz w:val="25"/>
          <w:szCs w:val="25"/>
        </w:rPr>
        <w:t xml:space="preserve"> obtain appropriate fusion </w:t>
      </w:r>
      <w:r w:rsidR="00DA375B" w:rsidRPr="00C8713C">
        <w:rPr>
          <w:rFonts w:asciiTheme="majorBidi" w:eastAsia="AdvP6975" w:hAnsiTheme="majorBidi" w:cstheme="majorBidi"/>
          <w:color w:val="231F20"/>
          <w:sz w:val="25"/>
          <w:szCs w:val="25"/>
        </w:rPr>
        <w:t>behaviour</w:t>
      </w:r>
      <w:r w:rsidRPr="00C8713C">
        <w:rPr>
          <w:rFonts w:asciiTheme="majorBidi" w:eastAsia="AdvP6975" w:hAnsiTheme="majorBidi" w:cstheme="majorBidi"/>
          <w:color w:val="231F20"/>
          <w:sz w:val="25"/>
          <w:szCs w:val="25"/>
        </w:rPr>
        <w:t xml:space="preserve">, high content of the nanoclay is necessary. It was due to distribution and localization of the nanoclay between polymeric phases. By increasing rubber content, fusion time decreased, whereas fusion level increased. It was attributed to the role of the NBR phase as processing aid. Also, rotor speed showed a positive effect on the fusion of the PVC. Based on the interactive and contour plots, role of the any parameter is significantly influenced by level of the other parameters. </w:t>
      </w:r>
      <w:r w:rsidRPr="00C8713C">
        <w:rPr>
          <w:rFonts w:asciiTheme="majorBidi" w:hAnsiTheme="majorBidi" w:cstheme="majorBidi"/>
          <w:color w:val="231F20"/>
          <w:sz w:val="25"/>
          <w:szCs w:val="25"/>
        </w:rPr>
        <w:t xml:space="preserve">High levels of the nanoclay and rubber contents led to desirable fusion </w:t>
      </w:r>
      <w:r w:rsidR="00DE4917" w:rsidRPr="00C8713C">
        <w:rPr>
          <w:rFonts w:asciiTheme="majorBidi" w:hAnsiTheme="majorBidi" w:cstheme="majorBidi"/>
          <w:color w:val="231F20"/>
          <w:sz w:val="25"/>
          <w:szCs w:val="25"/>
        </w:rPr>
        <w:t>behaviour</w:t>
      </w:r>
      <w:r w:rsidRPr="00C8713C">
        <w:rPr>
          <w:rFonts w:asciiTheme="majorBidi" w:hAnsiTheme="majorBidi" w:cstheme="majorBidi"/>
          <w:color w:val="231F20"/>
          <w:sz w:val="25"/>
          <w:szCs w:val="25"/>
        </w:rPr>
        <w:t xml:space="preserve">. Moreover, at high loadings of Cloisite 30B, optimum level of rotor speed should be applied. On the other hand, </w:t>
      </w:r>
      <w:r w:rsidRPr="00C8713C">
        <w:rPr>
          <w:rFonts w:asciiTheme="majorBidi" w:eastAsia="AdvP6975" w:hAnsiTheme="majorBidi" w:cstheme="majorBidi"/>
          <w:color w:val="231F20"/>
          <w:sz w:val="25"/>
          <w:szCs w:val="25"/>
        </w:rPr>
        <w:t>high levels of the rubber content and rotor speed provided a good response.</w:t>
      </w:r>
      <w:r w:rsidRPr="00C8713C">
        <w:rPr>
          <w:rFonts w:asciiTheme="majorBidi" w:eastAsia="AdvP6975" w:hAnsiTheme="majorBidi" w:cstheme="majorBidi" w:hint="cs"/>
          <w:color w:val="231F20"/>
          <w:sz w:val="25"/>
          <w:szCs w:val="25"/>
          <w:rtl/>
        </w:rPr>
        <w:t xml:space="preserve"> </w:t>
      </w:r>
      <w:r w:rsidRPr="00C8713C">
        <w:rPr>
          <w:rFonts w:asciiTheme="majorBidi" w:eastAsia="AdvP6975" w:hAnsiTheme="majorBidi" w:cstheme="majorBidi"/>
          <w:color w:val="231F20"/>
          <w:sz w:val="25"/>
          <w:szCs w:val="25"/>
        </w:rPr>
        <w:t>From output of the response surface methodology, it can be concluded that interactions between nanoclay and blend components (PVC and XNBR) have a significant effect on both individual and interactive effects of the nanofiller.</w:t>
      </w:r>
    </w:p>
    <w:p w:rsidR="006829C9" w:rsidRPr="00171EBD" w:rsidRDefault="006829C9" w:rsidP="006829C9">
      <w:pPr>
        <w:spacing w:after="0" w:line="240" w:lineRule="auto"/>
        <w:jc w:val="both"/>
        <w:rPr>
          <w:sz w:val="28"/>
          <w:szCs w:val="28"/>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E375BC" w:rsidRPr="0015031B" w:rsidRDefault="00594A1B" w:rsidP="00E375BC">
      <w:pPr>
        <w:widowControl w:val="0"/>
        <w:autoSpaceDE w:val="0"/>
        <w:autoSpaceDN w:val="0"/>
        <w:adjustRightInd w:val="0"/>
        <w:spacing w:after="0" w:line="240" w:lineRule="auto"/>
        <w:rPr>
          <w:rFonts w:asciiTheme="majorBidi" w:hAnsiTheme="majorBidi" w:cstheme="majorBidi"/>
          <w:noProof/>
          <w:sz w:val="24"/>
          <w:szCs w:val="24"/>
        </w:rPr>
      </w:pPr>
      <w:r w:rsidRPr="0015031B">
        <w:rPr>
          <w:rFonts w:asciiTheme="majorBidi" w:hAnsiTheme="majorBidi" w:cstheme="majorBidi"/>
          <w:sz w:val="24"/>
          <w:szCs w:val="24"/>
        </w:rPr>
        <w:fldChar w:fldCharType="begin" w:fldLock="1"/>
      </w:r>
      <w:r w:rsidR="00E375BC" w:rsidRPr="0015031B">
        <w:rPr>
          <w:rFonts w:asciiTheme="majorBidi" w:hAnsiTheme="majorBidi" w:cstheme="majorBidi"/>
          <w:sz w:val="24"/>
          <w:szCs w:val="24"/>
        </w:rPr>
        <w:instrText xml:space="preserve">ADDIN Mendeley Bibliography CSL_BIBLIOGRAPHY </w:instrText>
      </w:r>
      <w:r w:rsidRPr="0015031B">
        <w:rPr>
          <w:rFonts w:asciiTheme="majorBidi" w:hAnsiTheme="majorBidi" w:cstheme="majorBidi"/>
          <w:sz w:val="24"/>
          <w:szCs w:val="24"/>
        </w:rPr>
        <w:fldChar w:fldCharType="separate"/>
      </w:r>
      <w:r w:rsidR="00E375BC" w:rsidRPr="0015031B">
        <w:rPr>
          <w:rFonts w:asciiTheme="majorBidi" w:hAnsiTheme="majorBidi" w:cstheme="majorBidi"/>
          <w:noProof/>
          <w:sz w:val="24"/>
          <w:szCs w:val="24"/>
        </w:rPr>
        <w:t xml:space="preserve">1. M. Moghri, H. Garmabi, and M. Akbarian, J. Vinyl Addit. Technol. </w:t>
      </w:r>
      <w:r w:rsidR="00E375BC" w:rsidRPr="0015031B">
        <w:rPr>
          <w:rFonts w:asciiTheme="majorBidi" w:hAnsiTheme="majorBidi" w:cstheme="majorBidi"/>
          <w:b/>
          <w:bCs/>
          <w:noProof/>
          <w:sz w:val="24"/>
          <w:szCs w:val="24"/>
        </w:rPr>
        <w:t>14</w:t>
      </w:r>
      <w:r w:rsidR="00E375BC" w:rsidRPr="0015031B">
        <w:rPr>
          <w:rFonts w:asciiTheme="majorBidi" w:hAnsiTheme="majorBidi" w:cstheme="majorBidi"/>
          <w:noProof/>
          <w:sz w:val="24"/>
          <w:szCs w:val="24"/>
        </w:rPr>
        <w:t>, 73 (2008).</w:t>
      </w:r>
    </w:p>
    <w:p w:rsidR="00E375BC" w:rsidRPr="0015031B" w:rsidRDefault="00E375BC" w:rsidP="00E375BC">
      <w:pPr>
        <w:widowControl w:val="0"/>
        <w:autoSpaceDE w:val="0"/>
        <w:autoSpaceDN w:val="0"/>
        <w:adjustRightInd w:val="0"/>
        <w:spacing w:after="0" w:line="240" w:lineRule="auto"/>
        <w:rPr>
          <w:rFonts w:asciiTheme="majorBidi" w:hAnsiTheme="majorBidi" w:cstheme="majorBidi"/>
          <w:noProof/>
          <w:sz w:val="24"/>
          <w:szCs w:val="24"/>
        </w:rPr>
      </w:pPr>
      <w:r w:rsidRPr="0015031B">
        <w:rPr>
          <w:rFonts w:asciiTheme="majorBidi" w:hAnsiTheme="majorBidi" w:cstheme="majorBidi"/>
          <w:noProof/>
          <w:sz w:val="24"/>
          <w:szCs w:val="24"/>
        </w:rPr>
        <w:t xml:space="preserve">2. E. B. Rabinovitch, J. Vinyl Technol. </w:t>
      </w:r>
      <w:r w:rsidRPr="0015031B">
        <w:rPr>
          <w:rFonts w:asciiTheme="majorBidi" w:hAnsiTheme="majorBidi" w:cstheme="majorBidi"/>
          <w:b/>
          <w:bCs/>
          <w:noProof/>
          <w:sz w:val="24"/>
          <w:szCs w:val="24"/>
        </w:rPr>
        <w:t>4</w:t>
      </w:r>
      <w:r w:rsidRPr="0015031B">
        <w:rPr>
          <w:rFonts w:asciiTheme="majorBidi" w:hAnsiTheme="majorBidi" w:cstheme="majorBidi"/>
          <w:noProof/>
          <w:sz w:val="24"/>
          <w:szCs w:val="24"/>
        </w:rPr>
        <w:t>, 62 (1982).</w:t>
      </w:r>
    </w:p>
    <w:p w:rsidR="00E375BC" w:rsidRPr="0015031B" w:rsidRDefault="00E375BC" w:rsidP="00E375BC">
      <w:pPr>
        <w:widowControl w:val="0"/>
        <w:autoSpaceDE w:val="0"/>
        <w:autoSpaceDN w:val="0"/>
        <w:adjustRightInd w:val="0"/>
        <w:spacing w:after="0" w:line="240" w:lineRule="auto"/>
        <w:rPr>
          <w:rFonts w:asciiTheme="majorBidi" w:hAnsiTheme="majorBidi" w:cstheme="majorBidi"/>
          <w:noProof/>
          <w:sz w:val="24"/>
          <w:szCs w:val="24"/>
        </w:rPr>
      </w:pPr>
      <w:r w:rsidRPr="0015031B">
        <w:rPr>
          <w:rFonts w:asciiTheme="majorBidi" w:hAnsiTheme="majorBidi" w:cstheme="majorBidi"/>
          <w:noProof/>
          <w:sz w:val="24"/>
          <w:szCs w:val="24"/>
        </w:rPr>
        <w:t xml:space="preserve">3. A. Yacykewych, in </w:t>
      </w:r>
      <w:r w:rsidRPr="0015031B">
        <w:rPr>
          <w:rFonts w:asciiTheme="majorBidi" w:hAnsiTheme="majorBidi" w:cstheme="majorBidi"/>
          <w:i/>
          <w:iCs/>
          <w:noProof/>
          <w:sz w:val="24"/>
          <w:szCs w:val="24"/>
        </w:rPr>
        <w:t>SPE ANTEC Pap.</w:t>
      </w:r>
      <w:r w:rsidRPr="0015031B">
        <w:rPr>
          <w:rFonts w:asciiTheme="majorBidi" w:hAnsiTheme="majorBidi" w:cstheme="majorBidi"/>
          <w:noProof/>
          <w:sz w:val="24"/>
          <w:szCs w:val="24"/>
        </w:rPr>
        <w:t xml:space="preserve"> (2001), p. 5.</w:t>
      </w:r>
    </w:p>
    <w:p w:rsidR="006829C9" w:rsidRPr="00171EBD" w:rsidRDefault="00594A1B" w:rsidP="00E375BC">
      <w:pPr>
        <w:spacing w:after="0" w:line="240" w:lineRule="auto"/>
        <w:jc w:val="both"/>
        <w:rPr>
          <w:rFonts w:ascii="Times New Roman" w:eastAsia="Times New Roman" w:hAnsi="Times New Roman" w:cs="Times New Roman"/>
          <w:i/>
          <w:sz w:val="28"/>
          <w:szCs w:val="28"/>
          <w:u w:val="single"/>
          <w:lang w:eastAsia="en-IN"/>
        </w:rPr>
      </w:pPr>
      <w:r w:rsidRPr="0015031B">
        <w:rPr>
          <w:rFonts w:asciiTheme="majorBidi" w:hAnsiTheme="majorBidi" w:cstheme="majorBidi"/>
          <w:sz w:val="24"/>
          <w:szCs w:val="24"/>
        </w:rPr>
        <w:fldChar w:fldCharType="end"/>
      </w:r>
    </w:p>
    <w:p w:rsidR="00E375BC" w:rsidRPr="00470683" w:rsidRDefault="006829C9" w:rsidP="00E375BC">
      <w:pPr>
        <w:autoSpaceDE w:val="0"/>
        <w:autoSpaceDN w:val="0"/>
        <w:adjustRightInd w:val="0"/>
        <w:spacing w:after="0" w:line="360" w:lineRule="auto"/>
        <w:rPr>
          <w:rFonts w:asciiTheme="majorBidi" w:hAnsiTheme="majorBidi" w:cstheme="majorBidi"/>
          <w:u w:val="single"/>
          <w:lang w:bidi="fa-IR"/>
        </w:rPr>
      </w:pPr>
      <w:r w:rsidRPr="00171EBD">
        <w:rPr>
          <w:rFonts w:asciiTheme="majorHAnsi" w:eastAsia="Times New Roman" w:hAnsiTheme="majorHAnsi" w:cstheme="majorBidi"/>
          <w:color w:val="AA610D" w:themeColor="accent1" w:themeShade="BF"/>
          <w:sz w:val="28"/>
          <w:szCs w:val="28"/>
          <w:lang w:eastAsia="en-IN"/>
        </w:rPr>
        <w:t>Mail Id:</w:t>
      </w:r>
      <w:r w:rsidR="00E375BC" w:rsidRPr="006C44A1">
        <w:rPr>
          <w:rFonts w:asciiTheme="majorBidi" w:eastAsia="AdvP6975" w:hAnsiTheme="majorBidi" w:cstheme="majorBidi"/>
          <w:color w:val="231F20"/>
          <w:sz w:val="24"/>
          <w:szCs w:val="24"/>
        </w:rPr>
        <w:t>moghri@iaukashan.ac.ir</w:t>
      </w:r>
    </w:p>
    <w:p w:rsidR="00FC37DB" w:rsidRPr="00171EBD" w:rsidRDefault="00FC37DB"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171EBD">
      <w:pPr>
        <w:spacing w:after="0" w:line="240" w:lineRule="auto"/>
        <w:jc w:val="both"/>
        <w:rPr>
          <w:sz w:val="28"/>
          <w:szCs w:val="28"/>
        </w:rPr>
      </w:pP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07C6" w:rsidRDefault="00B007C6" w:rsidP="004A0988">
      <w:pPr>
        <w:spacing w:after="0" w:line="240" w:lineRule="auto"/>
      </w:pPr>
      <w:r>
        <w:separator/>
      </w:r>
    </w:p>
  </w:endnote>
  <w:endnote w:type="continuationSeparator" w:id="1">
    <w:p w:rsidR="00B007C6" w:rsidRDefault="00B007C6"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P6975">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07C6" w:rsidRDefault="00B007C6" w:rsidP="004A0988">
      <w:pPr>
        <w:spacing w:after="0" w:line="240" w:lineRule="auto"/>
      </w:pPr>
      <w:r>
        <w:separator/>
      </w:r>
    </w:p>
  </w:footnote>
  <w:footnote w:type="continuationSeparator" w:id="1">
    <w:p w:rsidR="00B007C6" w:rsidRDefault="00B007C6"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FC37DB"/>
    <w:rsid w:val="00171EBD"/>
    <w:rsid w:val="001C6C39"/>
    <w:rsid w:val="004A0988"/>
    <w:rsid w:val="004D4A62"/>
    <w:rsid w:val="005116CB"/>
    <w:rsid w:val="00594A1B"/>
    <w:rsid w:val="006829C9"/>
    <w:rsid w:val="006C44A1"/>
    <w:rsid w:val="009A5A78"/>
    <w:rsid w:val="009E22BF"/>
    <w:rsid w:val="00A3017E"/>
    <w:rsid w:val="00AE4D50"/>
    <w:rsid w:val="00B007C6"/>
    <w:rsid w:val="00B4365C"/>
    <w:rsid w:val="00C643B3"/>
    <w:rsid w:val="00C8713C"/>
    <w:rsid w:val="00DA375B"/>
    <w:rsid w:val="00DE4917"/>
    <w:rsid w:val="00E21D47"/>
    <w:rsid w:val="00E375BC"/>
    <w:rsid w:val="00FB0131"/>
    <w:rsid w:val="00FC37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2BF"/>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702</Words>
  <Characters>4177</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123</cp:lastModifiedBy>
  <cp:revision>10</cp:revision>
  <dcterms:created xsi:type="dcterms:W3CDTF">2017-07-03T10:49:00Z</dcterms:created>
  <dcterms:modified xsi:type="dcterms:W3CDTF">2018-01-25T17:33:00Z</dcterms:modified>
</cp:coreProperties>
</file>