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0628E4">
        <w:rPr>
          <w:noProof/>
          <w:lang w:val="fr-FR" w:eastAsia="fr-FR"/>
        </w:rPr>
        <w:drawing>
          <wp:inline distT="0" distB="0" distL="0" distR="0">
            <wp:extent cx="889635" cy="1152525"/>
            <wp:effectExtent l="19050" t="0" r="5715" b="0"/>
            <wp:docPr id="5" name="Image 2" descr="25630378_10215368223102930_136047251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30378_10215368223102930_1360472517_n.jpg"/>
                    <pic:cNvPicPr/>
                  </pic:nvPicPr>
                  <pic:blipFill>
                    <a:blip r:embed="rId6" cstate="print">
                      <a:lum contrast="10000"/>
                    </a:blip>
                    <a:srcRect t="7229" b="19880"/>
                    <a:stretch>
                      <a:fillRect/>
                    </a:stretch>
                  </pic:blipFill>
                  <pic:spPr>
                    <a:xfrm>
                      <a:off x="0" y="0"/>
                      <a:ext cx="889635" cy="1152525"/>
                    </a:xfrm>
                    <a:prstGeom prst="rect">
                      <a:avLst/>
                    </a:prstGeom>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Pr="00A321A6" w:rsidRDefault="00A321A6" w:rsidP="00A321A6">
      <w:pPr>
        <w:pStyle w:val="Titre2"/>
        <w:jc w:val="center"/>
        <w:rPr>
          <w:rFonts w:eastAsia="Times New Roman"/>
          <w:b/>
          <w:bCs/>
          <w:lang w:val="en-GB" w:eastAsia="en-IN"/>
        </w:rPr>
      </w:pPr>
      <w:r w:rsidRPr="00A321A6">
        <w:rPr>
          <w:rFonts w:eastAsia="Times New Roman"/>
          <w:b/>
          <w:bCs/>
          <w:lang w:val="en-GB" w:eastAsia="en-IN"/>
        </w:rPr>
        <w:t xml:space="preserve">Effect of humidity on mechanical, thermal and barrier </w:t>
      </w:r>
      <w:r w:rsidRPr="00A321A6">
        <w:rPr>
          <w:rFonts w:eastAsia="Times New Roman"/>
          <w:b/>
          <w:lang w:val="en-US" w:eastAsia="en-IN"/>
        </w:rPr>
        <w:t>properties of EVOH films</w:t>
      </w:r>
    </w:p>
    <w:p w:rsidR="00FC37DB" w:rsidRPr="00A321A6" w:rsidRDefault="00A321A6" w:rsidP="00A321A6">
      <w:pPr>
        <w:spacing w:after="0" w:line="240" w:lineRule="auto"/>
        <w:jc w:val="center"/>
        <w:rPr>
          <w:rFonts w:ascii="Times New Roman" w:eastAsia="Times New Roman" w:hAnsi="Times New Roman" w:cs="Times New Roman"/>
          <w:i/>
          <w:color w:val="0070C0"/>
          <w:sz w:val="25"/>
          <w:szCs w:val="25"/>
          <w:lang w:val="fr-FR" w:eastAsia="en-IN"/>
        </w:rPr>
      </w:pPr>
      <w:r w:rsidRPr="00A321A6">
        <w:rPr>
          <w:rFonts w:ascii="Times New Roman" w:eastAsia="Times New Roman" w:hAnsi="Times New Roman" w:cs="Times New Roman"/>
          <w:i/>
          <w:color w:val="0070C0"/>
          <w:sz w:val="25"/>
          <w:szCs w:val="25"/>
          <w:u w:val="single"/>
          <w:lang w:val="fr-FR" w:eastAsia="en-IN"/>
        </w:rPr>
        <w:t>A. Blanchard</w:t>
      </w:r>
      <w:r w:rsidRPr="00A321A6">
        <w:rPr>
          <w:rFonts w:ascii="Times New Roman" w:eastAsia="Times New Roman" w:hAnsi="Times New Roman" w:cs="Times New Roman"/>
          <w:i/>
          <w:color w:val="0070C0"/>
          <w:sz w:val="25"/>
          <w:szCs w:val="25"/>
          <w:u w:val="single"/>
          <w:vertAlign w:val="superscript"/>
          <w:lang w:val="fr-FR" w:eastAsia="en-IN"/>
        </w:rPr>
        <w:t>1</w:t>
      </w:r>
      <w:r w:rsidRPr="00A321A6">
        <w:rPr>
          <w:rFonts w:ascii="Times New Roman" w:eastAsia="Times New Roman" w:hAnsi="Times New Roman" w:cs="Times New Roman"/>
          <w:b/>
          <w:bCs/>
          <w:i/>
          <w:color w:val="0070C0"/>
          <w:sz w:val="25"/>
          <w:szCs w:val="25"/>
          <w:vertAlign w:val="superscript"/>
          <w:lang w:val="fr-FR" w:eastAsia="en-IN"/>
        </w:rPr>
        <w:t>,</w:t>
      </w:r>
      <w:r w:rsidRPr="00A321A6">
        <w:rPr>
          <w:rFonts w:ascii="Times New Roman" w:eastAsia="Times New Roman" w:hAnsi="Times New Roman" w:cs="Times New Roman"/>
          <w:b/>
          <w:bCs/>
          <w:i/>
          <w:color w:val="0070C0"/>
          <w:sz w:val="25"/>
          <w:szCs w:val="25"/>
          <w:lang w:val="fr-FR" w:eastAsia="en-IN"/>
        </w:rPr>
        <w:t>*,</w:t>
      </w:r>
      <w:r w:rsidRPr="00A321A6">
        <w:rPr>
          <w:rFonts w:ascii="Times New Roman" w:eastAsia="Times New Roman" w:hAnsi="Times New Roman" w:cs="Times New Roman"/>
          <w:i/>
          <w:color w:val="0070C0"/>
          <w:sz w:val="25"/>
          <w:szCs w:val="25"/>
          <w:lang w:val="fr-FR" w:eastAsia="en-IN"/>
        </w:rPr>
        <w:t xml:space="preserve"> F. Gouanvé</w:t>
      </w:r>
      <w:r w:rsidRPr="00A321A6">
        <w:rPr>
          <w:rFonts w:ascii="Times New Roman" w:eastAsia="Times New Roman" w:hAnsi="Times New Roman" w:cs="Times New Roman"/>
          <w:i/>
          <w:color w:val="0070C0"/>
          <w:sz w:val="25"/>
          <w:szCs w:val="25"/>
          <w:vertAlign w:val="superscript"/>
          <w:lang w:val="fr-FR" w:eastAsia="en-IN"/>
        </w:rPr>
        <w:t xml:space="preserve"> 1</w:t>
      </w:r>
      <w:r w:rsidRPr="00A321A6">
        <w:rPr>
          <w:rFonts w:ascii="Times New Roman" w:eastAsia="Times New Roman" w:hAnsi="Times New Roman" w:cs="Times New Roman"/>
          <w:b/>
          <w:i/>
          <w:color w:val="0070C0"/>
          <w:sz w:val="25"/>
          <w:szCs w:val="25"/>
          <w:lang w:val="fr-FR" w:eastAsia="en-IN"/>
        </w:rPr>
        <w:t>,</w:t>
      </w:r>
      <w:r w:rsidRPr="00A321A6">
        <w:rPr>
          <w:rFonts w:ascii="Times New Roman" w:eastAsia="Times New Roman" w:hAnsi="Times New Roman" w:cs="Times New Roman"/>
          <w:i/>
          <w:color w:val="0070C0"/>
          <w:sz w:val="25"/>
          <w:szCs w:val="25"/>
          <w:lang w:val="fr-FR" w:eastAsia="en-IN"/>
        </w:rPr>
        <w:t xml:space="preserve"> E. Espuche</w:t>
      </w:r>
      <w:r w:rsidRPr="00A321A6">
        <w:rPr>
          <w:rFonts w:ascii="Times New Roman" w:eastAsia="Times New Roman" w:hAnsi="Times New Roman" w:cs="Times New Roman"/>
          <w:i/>
          <w:color w:val="0070C0"/>
          <w:sz w:val="25"/>
          <w:szCs w:val="25"/>
          <w:vertAlign w:val="superscript"/>
          <w:lang w:val="fr-FR" w:eastAsia="en-IN"/>
        </w:rPr>
        <w:t>1</w:t>
      </w:r>
    </w:p>
    <w:p w:rsidR="00FC37DB" w:rsidRPr="00A321A6" w:rsidRDefault="00A321A6" w:rsidP="00A321A6">
      <w:pPr>
        <w:spacing w:after="0" w:line="240" w:lineRule="auto"/>
        <w:jc w:val="center"/>
        <w:rPr>
          <w:rFonts w:ascii="Times New Roman" w:eastAsia="Times New Roman" w:hAnsi="Times New Roman" w:cs="Times New Roman"/>
          <w:i/>
          <w:color w:val="0070C0"/>
          <w:sz w:val="25"/>
          <w:szCs w:val="25"/>
          <w:lang w:val="fr-FR" w:eastAsia="en-IN"/>
        </w:rPr>
      </w:pPr>
      <w:r w:rsidRPr="00A321A6">
        <w:rPr>
          <w:rFonts w:ascii="Times New Roman" w:eastAsia="Times New Roman" w:hAnsi="Times New Roman" w:cs="Times New Roman"/>
          <w:i/>
          <w:color w:val="0070C0"/>
          <w:sz w:val="25"/>
          <w:szCs w:val="25"/>
          <w:vertAlign w:val="superscript"/>
          <w:lang w:val="fr-FR" w:eastAsia="en-IN"/>
        </w:rPr>
        <w:t>1</w:t>
      </w:r>
      <w:r w:rsidRPr="00A321A6">
        <w:rPr>
          <w:rFonts w:ascii="Times New Roman" w:eastAsia="Times New Roman" w:hAnsi="Times New Roman" w:cs="Times New Roman"/>
          <w:i/>
          <w:color w:val="0070C0"/>
          <w:sz w:val="25"/>
          <w:szCs w:val="25"/>
          <w:lang w:val="fr-FR" w:eastAsia="en-IN"/>
        </w:rPr>
        <w:t xml:space="preserve"> Ingénierie des Matériaux Polymères, UMR CNRS 5223, IMP@Lyon1</w:t>
      </w:r>
    </w:p>
    <w:p w:rsidR="00FC37DB" w:rsidRPr="00A321A6" w:rsidRDefault="00A321A6" w:rsidP="00A321A6">
      <w:pPr>
        <w:spacing w:after="0" w:line="240" w:lineRule="auto"/>
        <w:jc w:val="center"/>
        <w:rPr>
          <w:rFonts w:ascii="Times New Roman" w:eastAsia="Times New Roman" w:hAnsi="Times New Roman" w:cs="Times New Roman"/>
          <w:i/>
          <w:color w:val="0070C0"/>
          <w:sz w:val="25"/>
          <w:szCs w:val="25"/>
          <w:lang w:val="fr-FR" w:eastAsia="en-IN"/>
        </w:rPr>
      </w:pPr>
      <w:r w:rsidRPr="00A321A6">
        <w:rPr>
          <w:rFonts w:ascii="Times New Roman" w:eastAsia="Times New Roman" w:hAnsi="Times New Roman" w:cs="Times New Roman"/>
          <w:i/>
          <w:color w:val="0070C0"/>
          <w:sz w:val="25"/>
          <w:szCs w:val="25"/>
          <w:lang w:val="fr-FR" w:eastAsia="en-IN"/>
        </w:rPr>
        <w:t>Université de Lyon</w:t>
      </w:r>
    </w:p>
    <w:p w:rsidR="00FC37DB" w:rsidRPr="00A321A6" w:rsidRDefault="00A321A6" w:rsidP="00A321A6">
      <w:pPr>
        <w:spacing w:after="0" w:line="240" w:lineRule="auto"/>
        <w:jc w:val="center"/>
        <w:rPr>
          <w:rFonts w:ascii="Times New Roman" w:eastAsia="Times New Roman" w:hAnsi="Times New Roman" w:cs="Times New Roman"/>
          <w:i/>
          <w:color w:val="0070C0"/>
          <w:sz w:val="25"/>
          <w:szCs w:val="25"/>
          <w:lang w:val="fr-FR" w:eastAsia="en-IN"/>
        </w:rPr>
      </w:pPr>
      <w:r w:rsidRPr="00A321A6">
        <w:rPr>
          <w:rFonts w:ascii="Times New Roman" w:eastAsia="Times New Roman" w:hAnsi="Times New Roman" w:cs="Times New Roman"/>
          <w:i/>
          <w:color w:val="0070C0"/>
          <w:sz w:val="25"/>
          <w:szCs w:val="25"/>
          <w:lang w:val="fr-FR" w:eastAsia="en-IN"/>
        </w:rPr>
        <w:t>France</w:t>
      </w:r>
    </w:p>
    <w:p w:rsidR="00FC37DB" w:rsidRPr="00A321A6" w:rsidRDefault="006829C9" w:rsidP="00FC37DB">
      <w:pPr>
        <w:spacing w:after="0" w:line="240" w:lineRule="auto"/>
        <w:jc w:val="both"/>
        <w:rPr>
          <w:rFonts w:ascii="Times New Roman" w:eastAsia="Times New Roman" w:hAnsi="Times New Roman" w:cs="Times New Roman"/>
          <w:sz w:val="25"/>
          <w:szCs w:val="25"/>
          <w:lang w:val="fr-FR" w:eastAsia="en-IN"/>
        </w:rPr>
      </w:pPr>
      <w:r w:rsidRPr="00A321A6">
        <w:rPr>
          <w:rFonts w:ascii="Times New Roman" w:eastAsia="Times New Roman" w:hAnsi="Times New Roman" w:cs="Times New Roman"/>
          <w:sz w:val="25"/>
          <w:szCs w:val="25"/>
          <w:lang w:val="fr-FR" w:eastAsia="en-IN"/>
        </w:rPr>
        <w:t xml:space="preserve">                                                                                                                   </w:t>
      </w:r>
    </w:p>
    <w:p w:rsidR="006829C9" w:rsidRPr="00E36439" w:rsidRDefault="006829C9" w:rsidP="00A321A6">
      <w:pPr>
        <w:pStyle w:val="Titre1"/>
        <w:spacing w:before="0"/>
        <w:rPr>
          <w:rFonts w:eastAsia="Times New Roman"/>
          <w:sz w:val="16"/>
          <w:szCs w:val="16"/>
          <w:u w:val="single"/>
          <w:lang w:val="fr-FR" w:eastAsia="en-IN"/>
        </w:rPr>
      </w:pPr>
      <w:r w:rsidRPr="00E36439">
        <w:rPr>
          <w:rFonts w:eastAsia="Times New Roman"/>
          <w:u w:val="single"/>
          <w:lang w:val="fr-FR" w:eastAsia="en-IN"/>
        </w:rPr>
        <w:t>Abstract:</w:t>
      </w:r>
      <w:r w:rsidRPr="00E36439">
        <w:rPr>
          <w:rFonts w:eastAsia="Times New Roman"/>
          <w:u w:val="single"/>
          <w:lang w:val="fr-FR" w:eastAsia="en-IN"/>
        </w:rPr>
        <w:br/>
      </w:r>
    </w:p>
    <w:p w:rsidR="00A321A6" w:rsidRPr="00B865FA" w:rsidRDefault="00A321A6" w:rsidP="00A321A6">
      <w:pPr>
        <w:pStyle w:val="TTPParagraphothers"/>
        <w:rPr>
          <w:lang w:val="en-GB"/>
        </w:rPr>
      </w:pPr>
      <w:r>
        <w:rPr>
          <w:lang w:val="en-GB"/>
        </w:rPr>
        <w:t>Ethyle</w:t>
      </w:r>
      <w:r w:rsidRPr="00B865FA">
        <w:rPr>
          <w:lang w:val="en-GB"/>
        </w:rPr>
        <w:t>ne-</w:t>
      </w:r>
      <w:r>
        <w:rPr>
          <w:lang w:val="en-GB"/>
        </w:rPr>
        <w:t xml:space="preserve">vinyl </w:t>
      </w:r>
      <w:r w:rsidRPr="00B865FA">
        <w:rPr>
          <w:lang w:val="en-GB"/>
        </w:rPr>
        <w:t>alco</w:t>
      </w:r>
      <w:r>
        <w:rPr>
          <w:lang w:val="en-GB"/>
        </w:rPr>
        <w:t>h</w:t>
      </w:r>
      <w:r w:rsidRPr="00B865FA">
        <w:rPr>
          <w:lang w:val="en-GB"/>
        </w:rPr>
        <w:t>ol (EVOH)</w:t>
      </w:r>
      <w:r>
        <w:rPr>
          <w:lang w:val="en-GB"/>
        </w:rPr>
        <w:t xml:space="preserve"> copolymers are semi-crystalline materials composed of hydrophobic segments of polyethylene (PE) and hydrophilic segments of polyvinyl alcohol (PVOH). Due to its high barrier properties to gases, hydrocarbons and organic vapours at drying state</w:t>
      </w:r>
      <w:r w:rsidRPr="00B865FA">
        <w:rPr>
          <w:vertAlign w:val="superscript"/>
          <w:lang w:val="en-GB"/>
        </w:rPr>
        <w:t xml:space="preserve"> [1]</w:t>
      </w:r>
      <w:r>
        <w:rPr>
          <w:lang w:val="en-GB"/>
        </w:rPr>
        <w:t xml:space="preserve">, EVOH is more and more used in food packaging applications, allowing </w:t>
      </w:r>
      <w:r w:rsidRPr="00825430">
        <w:rPr>
          <w:lang w:val="en-GB"/>
        </w:rPr>
        <w:t>to extend the life span</w:t>
      </w:r>
      <w:r w:rsidRPr="00825430" w:rsidDel="00825430">
        <w:rPr>
          <w:lang w:val="en-GB"/>
        </w:rPr>
        <w:t xml:space="preserve"> </w:t>
      </w:r>
      <w:r>
        <w:rPr>
          <w:lang w:val="en-GB"/>
        </w:rPr>
        <w:t>of the products</w:t>
      </w:r>
      <w:r w:rsidRPr="00B865FA">
        <w:rPr>
          <w:vertAlign w:val="superscript"/>
          <w:lang w:val="en-GB"/>
        </w:rPr>
        <w:t xml:space="preserve"> [2]</w:t>
      </w:r>
      <w:r>
        <w:rPr>
          <w:lang w:val="en-GB"/>
        </w:rPr>
        <w:t>. Nevertheless, t</w:t>
      </w:r>
      <w:r w:rsidRPr="000A34AD">
        <w:rPr>
          <w:lang w:val="en-GB"/>
        </w:rPr>
        <w:t xml:space="preserve">he major disadvantage of EVOH is </w:t>
      </w:r>
      <w:r w:rsidR="00B53C79">
        <w:rPr>
          <w:lang w:val="en-GB"/>
        </w:rPr>
        <w:t>its</w:t>
      </w:r>
      <w:r w:rsidRPr="000A34AD">
        <w:rPr>
          <w:lang w:val="en-GB"/>
        </w:rPr>
        <w:t xml:space="preserve"> moisture content sensitivity that causes a significant decrease in the barrier properties in high relative humidity environments</w:t>
      </w:r>
      <w:r>
        <w:rPr>
          <w:lang w:val="en-GB"/>
        </w:rPr>
        <w:t xml:space="preserve"> </w:t>
      </w:r>
      <w:r w:rsidRPr="00B865FA">
        <w:rPr>
          <w:vertAlign w:val="superscript"/>
          <w:lang w:val="en-GB"/>
        </w:rPr>
        <w:t>[3]</w:t>
      </w:r>
      <w:r w:rsidRPr="00722E0E">
        <w:rPr>
          <w:lang w:val="en-GB"/>
        </w:rPr>
        <w:t xml:space="preserve">. </w:t>
      </w:r>
    </w:p>
    <w:p w:rsidR="00A321A6" w:rsidRPr="00B865FA" w:rsidRDefault="00A321A6" w:rsidP="00A321A6">
      <w:pPr>
        <w:pStyle w:val="TTPParagraphothers"/>
        <w:rPr>
          <w:sz w:val="16"/>
          <w:szCs w:val="16"/>
          <w:lang w:val="en-GB"/>
        </w:rPr>
      </w:pPr>
    </w:p>
    <w:p w:rsidR="00A321A6" w:rsidRPr="00B865FA" w:rsidRDefault="00A321A6" w:rsidP="00A321A6">
      <w:pPr>
        <w:pStyle w:val="TTPParagraphothers"/>
        <w:rPr>
          <w:lang w:val="en-GB"/>
        </w:rPr>
      </w:pPr>
      <w:r>
        <w:rPr>
          <w:lang w:val="en-GB"/>
        </w:rPr>
        <w:t xml:space="preserve">The main objective of this study is to get a better understanding of the mechanism of water sorption molecules in these copolymers </w:t>
      </w:r>
      <w:r w:rsidR="00B53C79">
        <w:rPr>
          <w:lang w:val="en-GB"/>
        </w:rPr>
        <w:t>determining</w:t>
      </w:r>
      <w:r>
        <w:rPr>
          <w:lang w:val="en-GB"/>
        </w:rPr>
        <w:t xml:space="preserve"> the consequences on the mechanical, thermal, water and oxygen barrier properties. Consequently, these properties were analysed at several water activities (a</w:t>
      </w:r>
      <w:r w:rsidRPr="00353630">
        <w:rPr>
          <w:vertAlign w:val="subscript"/>
          <w:lang w:val="en-GB"/>
        </w:rPr>
        <w:t>w</w:t>
      </w:r>
      <w:r>
        <w:rPr>
          <w:lang w:val="en-GB"/>
        </w:rPr>
        <w:t>) ranging from 0 to 1 on films elaborated from a 32% ethylene containing copolymer.</w:t>
      </w:r>
    </w:p>
    <w:p w:rsidR="00A321A6" w:rsidRPr="00B865FA" w:rsidRDefault="00A321A6" w:rsidP="00A321A6">
      <w:pPr>
        <w:pStyle w:val="TTPParagraphothers"/>
        <w:rPr>
          <w:sz w:val="16"/>
          <w:szCs w:val="16"/>
          <w:lang w:val="en-GB"/>
        </w:rPr>
      </w:pPr>
    </w:p>
    <w:p w:rsidR="00A321A6" w:rsidRPr="00B865FA" w:rsidRDefault="00A321A6" w:rsidP="00A321A6">
      <w:pPr>
        <w:pStyle w:val="TTPParagraphothers"/>
        <w:rPr>
          <w:lang w:val="en-GB"/>
        </w:rPr>
      </w:pPr>
      <w:r>
        <w:rPr>
          <w:lang w:val="en-GB"/>
        </w:rPr>
        <w:t xml:space="preserve">Water vapour sorption </w:t>
      </w:r>
      <w:r w:rsidR="00B53C79">
        <w:rPr>
          <w:lang w:val="en-GB"/>
        </w:rPr>
        <w:t>behaviour</w:t>
      </w:r>
      <w:r w:rsidR="007A53A0">
        <w:rPr>
          <w:lang w:val="en-GB"/>
        </w:rPr>
        <w:t>,</w:t>
      </w:r>
      <w:r w:rsidR="00B53C79">
        <w:rPr>
          <w:lang w:val="en-GB"/>
        </w:rPr>
        <w:t xml:space="preserve"> </w:t>
      </w:r>
      <w:r w:rsidR="007A53A0">
        <w:rPr>
          <w:lang w:val="en-GB"/>
        </w:rPr>
        <w:t>corresponding</w:t>
      </w:r>
      <w:r w:rsidR="00B53C79">
        <w:rPr>
          <w:lang w:val="en-GB"/>
        </w:rPr>
        <w:t xml:space="preserve"> to</w:t>
      </w:r>
      <w:r>
        <w:rPr>
          <w:lang w:val="en-GB"/>
        </w:rPr>
        <w:t xml:space="preserve"> a BET</w:t>
      </w:r>
      <w:r w:rsidR="007A53A0">
        <w:rPr>
          <w:lang w:val="en-GB"/>
        </w:rPr>
        <w:t xml:space="preserve"> II </w:t>
      </w:r>
      <w:r w:rsidR="002F0CDD">
        <w:rPr>
          <w:lang w:val="en-GB"/>
        </w:rPr>
        <w:t>type</w:t>
      </w:r>
      <w:r w:rsidR="007A53A0">
        <w:rPr>
          <w:lang w:val="en-GB"/>
        </w:rPr>
        <w:t>, reveals</w:t>
      </w:r>
      <w:r>
        <w:rPr>
          <w:lang w:val="en-GB"/>
        </w:rPr>
        <w:t xml:space="preserve"> the sorption of water molecules on polar sites (Langmuir contribution)</w:t>
      </w:r>
      <w:r w:rsidR="00B53C79" w:rsidRPr="00B53C79">
        <w:rPr>
          <w:lang w:val="en-GB"/>
        </w:rPr>
        <w:t xml:space="preserve"> </w:t>
      </w:r>
      <w:r w:rsidR="00B53C79">
        <w:rPr>
          <w:lang w:val="en-GB"/>
        </w:rPr>
        <w:t>at low activities</w:t>
      </w:r>
      <w:r>
        <w:rPr>
          <w:lang w:val="en-GB"/>
        </w:rPr>
        <w:t xml:space="preserve"> and the formation of water clusters at high activities</w:t>
      </w:r>
      <w:r w:rsidRPr="00B865FA">
        <w:rPr>
          <w:lang w:val="en-GB"/>
        </w:rPr>
        <w:t xml:space="preserve"> </w:t>
      </w:r>
      <w:r w:rsidRPr="00B865FA">
        <w:rPr>
          <w:vertAlign w:val="superscript"/>
          <w:lang w:val="en-GB"/>
        </w:rPr>
        <w:t>[4]</w:t>
      </w:r>
      <w:r w:rsidRPr="00B865FA">
        <w:rPr>
          <w:lang w:val="en-GB"/>
        </w:rPr>
        <w:t>.</w:t>
      </w:r>
    </w:p>
    <w:p w:rsidR="00A321A6" w:rsidRPr="00B865FA" w:rsidRDefault="00A321A6" w:rsidP="00A321A6">
      <w:pPr>
        <w:pStyle w:val="TTPParagraphothers"/>
        <w:rPr>
          <w:lang w:val="en-GB"/>
        </w:rPr>
      </w:pPr>
    </w:p>
    <w:p w:rsidR="00A321A6" w:rsidRPr="00B865FA" w:rsidRDefault="00A321A6" w:rsidP="00A321A6">
      <w:pPr>
        <w:pStyle w:val="TTPParagraphothers"/>
        <w:rPr>
          <w:lang w:val="en-GB"/>
        </w:rPr>
      </w:pPr>
      <w:r>
        <w:rPr>
          <w:lang w:val="en-GB"/>
        </w:rPr>
        <w:t>GAB model</w:t>
      </w:r>
      <w:r w:rsidR="00B53C79">
        <w:rPr>
          <w:lang w:val="en-GB"/>
        </w:rPr>
        <w:t>ized isotherm</w:t>
      </w:r>
      <w:r w:rsidRPr="00B865FA">
        <w:rPr>
          <w:vertAlign w:val="superscript"/>
          <w:lang w:val="en-GB"/>
        </w:rPr>
        <w:t>[5]</w:t>
      </w:r>
      <w:r>
        <w:rPr>
          <w:lang w:val="en-GB"/>
        </w:rPr>
        <w:t xml:space="preserve"> combined with the use of the clustering theory from Zimm &amp; Lundberg</w:t>
      </w:r>
      <w:r w:rsidRPr="00B865FA">
        <w:rPr>
          <w:vertAlign w:val="superscript"/>
          <w:lang w:val="en-GB"/>
        </w:rPr>
        <w:t>[6]</w:t>
      </w:r>
      <w:r>
        <w:rPr>
          <w:lang w:val="en-GB"/>
        </w:rPr>
        <w:t xml:space="preserve"> underline the existence of a </w:t>
      </w:r>
      <w:r w:rsidR="002F0CDD">
        <w:rPr>
          <w:b/>
          <w:lang w:val="en-GB"/>
        </w:rPr>
        <w:t>critical water activity close to 0.</w:t>
      </w:r>
      <w:r w:rsidRPr="003557B0">
        <w:rPr>
          <w:b/>
          <w:lang w:val="en-GB"/>
        </w:rPr>
        <w:t>5</w:t>
      </w:r>
      <w:r>
        <w:rPr>
          <w:lang w:val="en-GB"/>
        </w:rPr>
        <w:t xml:space="preserve"> </w:t>
      </w:r>
      <w:r w:rsidRPr="003557B0">
        <w:rPr>
          <w:b/>
          <w:lang w:val="en-GB"/>
        </w:rPr>
        <w:t>corresponding to the presence of one water molecule linked every ten PVOH amorphous units</w:t>
      </w:r>
      <w:r w:rsidRPr="00B865FA">
        <w:rPr>
          <w:lang w:val="en-GB"/>
        </w:rPr>
        <w:t xml:space="preserve">. </w:t>
      </w:r>
      <w:r>
        <w:rPr>
          <w:lang w:val="en-GB"/>
        </w:rPr>
        <w:t xml:space="preserve">A strong modification of </w:t>
      </w:r>
      <w:r w:rsidR="00B53C79">
        <w:rPr>
          <w:lang w:val="en-GB"/>
        </w:rPr>
        <w:t xml:space="preserve">the </w:t>
      </w:r>
      <w:r w:rsidR="002F0CDD">
        <w:rPr>
          <w:lang w:val="en-GB"/>
        </w:rPr>
        <w:t xml:space="preserve">mechanical and permeation </w:t>
      </w:r>
      <w:r>
        <w:rPr>
          <w:lang w:val="en-GB"/>
        </w:rPr>
        <w:t xml:space="preserve">properties was observed starting from this critical point, showing how important is the understanding of the water sorption mechanism and the consequences on the properties. </w:t>
      </w:r>
    </w:p>
    <w:p w:rsidR="00FC37DB" w:rsidRDefault="00FC37DB" w:rsidP="00FC37DB">
      <w:pPr>
        <w:spacing w:after="0" w:line="240" w:lineRule="auto"/>
        <w:jc w:val="both"/>
        <w:rPr>
          <w:rFonts w:ascii="Times New Roman" w:eastAsia="Times New Roman" w:hAnsi="Times New Roman" w:cs="Times New Roman"/>
          <w:sz w:val="25"/>
          <w:szCs w:val="25"/>
          <w:lang w:val="en-GB" w:eastAsia="en-IN"/>
        </w:rPr>
      </w:pPr>
    </w:p>
    <w:p w:rsidR="00A321A6" w:rsidRPr="00B865FA" w:rsidRDefault="00A321A6" w:rsidP="00A321A6">
      <w:pPr>
        <w:pStyle w:val="TTPParagraph1st"/>
        <w:rPr>
          <w:lang w:val="en-GB"/>
        </w:rPr>
      </w:pPr>
      <w:r w:rsidRPr="00B865FA">
        <w:rPr>
          <w:lang w:val="en-GB"/>
        </w:rPr>
        <w:t xml:space="preserve">References  </w:t>
      </w:r>
    </w:p>
    <w:p w:rsidR="00A321A6" w:rsidRPr="00A321A6" w:rsidRDefault="00A321A6" w:rsidP="00A321A6">
      <w:pPr>
        <w:spacing w:after="0"/>
        <w:ind w:right="1"/>
        <w:jc w:val="both"/>
        <w:rPr>
          <w:sz w:val="18"/>
          <w:szCs w:val="18"/>
          <w:lang w:val="en-GB"/>
        </w:rPr>
      </w:pPr>
      <w:r w:rsidRPr="00A321A6">
        <w:rPr>
          <w:b/>
          <w:sz w:val="18"/>
          <w:szCs w:val="18"/>
          <w:lang w:val="en-GB"/>
        </w:rPr>
        <w:t xml:space="preserve">[1] </w:t>
      </w:r>
      <w:r w:rsidRPr="00A321A6">
        <w:rPr>
          <w:bCs/>
          <w:sz w:val="18"/>
          <w:szCs w:val="18"/>
          <w:lang w:val="en-GB"/>
        </w:rPr>
        <w:t xml:space="preserve">K. Khanah Mokwena, J.Tang, </w:t>
      </w:r>
      <w:r w:rsidRPr="00A321A6">
        <w:rPr>
          <w:bCs/>
          <w:sz w:val="18"/>
          <w:szCs w:val="18"/>
          <w:u w:val="single"/>
          <w:lang w:val="en-GB"/>
        </w:rPr>
        <w:t>Food Science and Nutrition</w:t>
      </w:r>
      <w:r w:rsidRPr="00A321A6">
        <w:rPr>
          <w:bCs/>
          <w:sz w:val="18"/>
          <w:szCs w:val="18"/>
          <w:lang w:val="en-GB"/>
        </w:rPr>
        <w:t xml:space="preserve">, </w:t>
      </w:r>
      <w:r w:rsidRPr="00A321A6">
        <w:rPr>
          <w:b/>
          <w:bCs/>
          <w:sz w:val="18"/>
          <w:szCs w:val="18"/>
          <w:lang w:val="en-GB"/>
        </w:rPr>
        <w:t>2012</w:t>
      </w:r>
      <w:r w:rsidRPr="00A321A6">
        <w:rPr>
          <w:bCs/>
          <w:sz w:val="18"/>
          <w:szCs w:val="18"/>
          <w:lang w:val="en-GB"/>
        </w:rPr>
        <w:t xml:space="preserve">, </w:t>
      </w:r>
      <w:r w:rsidRPr="00A321A6">
        <w:rPr>
          <w:bCs/>
          <w:i/>
          <w:sz w:val="18"/>
          <w:szCs w:val="18"/>
          <w:lang w:val="en-GB"/>
        </w:rPr>
        <w:t xml:space="preserve">Vol 52, </w:t>
      </w:r>
      <w:r w:rsidRPr="00A321A6">
        <w:rPr>
          <w:bCs/>
          <w:sz w:val="18"/>
          <w:szCs w:val="18"/>
          <w:lang w:val="en-GB"/>
        </w:rPr>
        <w:t>640-650</w:t>
      </w:r>
    </w:p>
    <w:p w:rsidR="00A321A6" w:rsidRPr="00A321A6" w:rsidRDefault="00A321A6" w:rsidP="00A321A6">
      <w:pPr>
        <w:spacing w:after="0"/>
        <w:ind w:right="1"/>
        <w:jc w:val="both"/>
        <w:rPr>
          <w:rFonts w:cs="NewCenturySchlbk-Roman"/>
          <w:sz w:val="18"/>
          <w:szCs w:val="18"/>
          <w:lang w:val="en-GB"/>
        </w:rPr>
      </w:pPr>
      <w:r w:rsidRPr="00A321A6">
        <w:rPr>
          <w:b/>
          <w:sz w:val="18"/>
          <w:szCs w:val="18"/>
          <w:lang w:val="en-GB"/>
        </w:rPr>
        <w:t xml:space="preserve">[2] </w:t>
      </w:r>
      <w:r w:rsidRPr="00A321A6">
        <w:rPr>
          <w:rFonts w:cs="NewCenturySchlbk-Roman"/>
          <w:sz w:val="18"/>
          <w:szCs w:val="18"/>
          <w:lang w:val="en-GB"/>
        </w:rPr>
        <w:t xml:space="preserve">J.M Lagaron, E. Giménez, B. Altava, V. Del-Valle, R. Gavara, </w:t>
      </w:r>
      <w:r w:rsidRPr="00A321A6">
        <w:rPr>
          <w:rFonts w:cs="NewCenturySchlbk-Roman"/>
          <w:sz w:val="18"/>
          <w:szCs w:val="18"/>
          <w:u w:val="single"/>
          <w:lang w:val="en-GB"/>
        </w:rPr>
        <w:t>Macromolecular Symposia</w:t>
      </w:r>
      <w:r w:rsidRPr="00A321A6">
        <w:rPr>
          <w:rFonts w:cs="NewCenturySchlbk-Roman"/>
          <w:sz w:val="18"/>
          <w:szCs w:val="18"/>
          <w:lang w:val="en-GB"/>
        </w:rPr>
        <w:t xml:space="preserve">, </w:t>
      </w:r>
      <w:r w:rsidRPr="00A321A6">
        <w:rPr>
          <w:rFonts w:cs="NewCenturySchlbk-Roman"/>
          <w:b/>
          <w:sz w:val="18"/>
          <w:szCs w:val="18"/>
          <w:lang w:val="en-GB"/>
        </w:rPr>
        <w:t>2003</w:t>
      </w:r>
      <w:r w:rsidRPr="00A321A6">
        <w:rPr>
          <w:rFonts w:cs="NewCenturySchlbk-Roman"/>
          <w:sz w:val="18"/>
          <w:szCs w:val="18"/>
          <w:lang w:val="en-GB"/>
        </w:rPr>
        <w:t xml:space="preserve">, </w:t>
      </w:r>
      <w:r w:rsidRPr="00A321A6">
        <w:rPr>
          <w:rFonts w:cs="NewCenturySchlbk-Roman"/>
          <w:i/>
          <w:sz w:val="18"/>
          <w:szCs w:val="18"/>
          <w:lang w:val="en-GB"/>
        </w:rPr>
        <w:t>Vol 198</w:t>
      </w:r>
      <w:r w:rsidRPr="00A321A6">
        <w:rPr>
          <w:rFonts w:cs="NewCenturySchlbk-Roman"/>
          <w:sz w:val="18"/>
          <w:szCs w:val="18"/>
          <w:lang w:val="en-GB"/>
        </w:rPr>
        <w:t>, 473-482</w:t>
      </w:r>
    </w:p>
    <w:p w:rsidR="00A321A6" w:rsidRPr="00A321A6" w:rsidRDefault="00A321A6" w:rsidP="00A321A6">
      <w:pPr>
        <w:adjustRightInd w:val="0"/>
        <w:spacing w:after="0"/>
        <w:rPr>
          <w:bCs/>
          <w:sz w:val="18"/>
          <w:szCs w:val="18"/>
          <w:lang w:val="en-GB" w:eastAsia="fr-FR"/>
        </w:rPr>
      </w:pPr>
      <w:r w:rsidRPr="00A321A6">
        <w:rPr>
          <w:b/>
          <w:bCs/>
          <w:sz w:val="18"/>
          <w:szCs w:val="18"/>
          <w:lang w:val="en-GB" w:eastAsia="fr-FR"/>
        </w:rPr>
        <w:t>[3]</w:t>
      </w:r>
      <w:r w:rsidRPr="00A321A6">
        <w:rPr>
          <w:rFonts w:ascii="Optima-Bold" w:hAnsi="Optima-Bold" w:cs="Optima-Bold"/>
          <w:b/>
          <w:bCs/>
          <w:sz w:val="18"/>
          <w:szCs w:val="18"/>
          <w:lang w:val="en-GB" w:eastAsia="fr-FR"/>
        </w:rPr>
        <w:t xml:space="preserve"> </w:t>
      </w:r>
      <w:r w:rsidRPr="00A321A6">
        <w:rPr>
          <w:bCs/>
          <w:sz w:val="18"/>
          <w:szCs w:val="18"/>
          <w:lang w:val="en-GB" w:eastAsia="fr-FR"/>
        </w:rPr>
        <w:t xml:space="preserve">Z. Zhang, I.J. Britt,  M.A. Tung, </w:t>
      </w:r>
      <w:r w:rsidRPr="00A321A6">
        <w:rPr>
          <w:bCs/>
          <w:sz w:val="18"/>
          <w:szCs w:val="18"/>
          <w:u w:val="single"/>
          <w:lang w:val="en-GB" w:eastAsia="fr-FR"/>
        </w:rPr>
        <w:t>Journal of Applied Polymer Science</w:t>
      </w:r>
      <w:r w:rsidRPr="00A321A6">
        <w:rPr>
          <w:bCs/>
          <w:sz w:val="18"/>
          <w:szCs w:val="18"/>
          <w:lang w:val="en-GB" w:eastAsia="fr-FR"/>
        </w:rPr>
        <w:t xml:space="preserve">, </w:t>
      </w:r>
      <w:r w:rsidRPr="00A321A6">
        <w:rPr>
          <w:b/>
          <w:bCs/>
          <w:sz w:val="18"/>
          <w:szCs w:val="18"/>
          <w:lang w:val="en-GB" w:eastAsia="fr-FR"/>
        </w:rPr>
        <w:t>2001</w:t>
      </w:r>
      <w:r w:rsidRPr="00A321A6">
        <w:rPr>
          <w:bCs/>
          <w:sz w:val="18"/>
          <w:szCs w:val="18"/>
          <w:lang w:val="en-GB" w:eastAsia="fr-FR"/>
        </w:rPr>
        <w:t xml:space="preserve">, </w:t>
      </w:r>
      <w:r w:rsidRPr="00A321A6">
        <w:rPr>
          <w:bCs/>
          <w:i/>
          <w:sz w:val="18"/>
          <w:szCs w:val="18"/>
          <w:lang w:val="en-GB" w:eastAsia="fr-FR"/>
        </w:rPr>
        <w:t>Vol 82</w:t>
      </w:r>
      <w:r w:rsidRPr="00A321A6">
        <w:rPr>
          <w:bCs/>
          <w:sz w:val="18"/>
          <w:szCs w:val="18"/>
          <w:lang w:val="en-GB" w:eastAsia="fr-FR"/>
        </w:rPr>
        <w:t>, 1866-1872</w:t>
      </w:r>
    </w:p>
    <w:p w:rsidR="00A321A6" w:rsidRPr="00A321A6" w:rsidRDefault="00A321A6" w:rsidP="00A321A6">
      <w:pPr>
        <w:adjustRightInd w:val="0"/>
        <w:spacing w:after="0"/>
        <w:rPr>
          <w:bCs/>
          <w:sz w:val="18"/>
          <w:szCs w:val="18"/>
          <w:lang w:val="en-GB" w:eastAsia="fr-FR"/>
        </w:rPr>
      </w:pPr>
      <w:r w:rsidRPr="00A321A6">
        <w:rPr>
          <w:b/>
          <w:sz w:val="18"/>
          <w:szCs w:val="18"/>
          <w:lang w:val="en-GB"/>
        </w:rPr>
        <w:t xml:space="preserve">[4] </w:t>
      </w:r>
      <w:r w:rsidRPr="00A321A6">
        <w:rPr>
          <w:sz w:val="18"/>
          <w:szCs w:val="18"/>
          <w:lang w:val="en-GB"/>
        </w:rPr>
        <w:t xml:space="preserve">D. Cava, L. Cabedo, E. Gimenez, R. Gavara, J.M. Lagaron, </w:t>
      </w:r>
      <w:r w:rsidRPr="00A321A6">
        <w:rPr>
          <w:sz w:val="18"/>
          <w:szCs w:val="18"/>
          <w:u w:val="single"/>
          <w:lang w:val="en-GB"/>
        </w:rPr>
        <w:t>Polymer Testing</w:t>
      </w:r>
      <w:r w:rsidRPr="00A321A6">
        <w:rPr>
          <w:sz w:val="18"/>
          <w:szCs w:val="18"/>
          <w:lang w:val="en-GB"/>
        </w:rPr>
        <w:t xml:space="preserve">, </w:t>
      </w:r>
      <w:r w:rsidRPr="00A321A6">
        <w:rPr>
          <w:b/>
          <w:sz w:val="18"/>
          <w:szCs w:val="18"/>
          <w:lang w:val="en-GB"/>
        </w:rPr>
        <w:t>2006</w:t>
      </w:r>
      <w:r w:rsidRPr="00A321A6">
        <w:rPr>
          <w:sz w:val="18"/>
          <w:szCs w:val="18"/>
          <w:lang w:val="en-GB"/>
        </w:rPr>
        <w:t xml:space="preserve">, </w:t>
      </w:r>
      <w:r w:rsidRPr="00A321A6">
        <w:rPr>
          <w:i/>
          <w:sz w:val="18"/>
          <w:szCs w:val="18"/>
          <w:lang w:val="en-GB"/>
        </w:rPr>
        <w:t>Vol 25</w:t>
      </w:r>
      <w:r w:rsidRPr="00A321A6">
        <w:rPr>
          <w:sz w:val="18"/>
          <w:szCs w:val="18"/>
          <w:lang w:val="en-GB"/>
        </w:rPr>
        <w:t xml:space="preserve">, 254-261 </w:t>
      </w:r>
    </w:p>
    <w:p w:rsidR="00A321A6" w:rsidRPr="00A321A6" w:rsidRDefault="00A321A6" w:rsidP="00A321A6">
      <w:pPr>
        <w:spacing w:after="0"/>
        <w:ind w:right="1"/>
        <w:jc w:val="both"/>
        <w:rPr>
          <w:sz w:val="18"/>
          <w:szCs w:val="18"/>
          <w:lang w:val="en-GB"/>
        </w:rPr>
      </w:pPr>
      <w:r w:rsidRPr="00A321A6">
        <w:rPr>
          <w:b/>
          <w:sz w:val="18"/>
          <w:szCs w:val="18"/>
          <w:lang w:val="en-GB"/>
        </w:rPr>
        <w:t xml:space="preserve">[5] </w:t>
      </w:r>
      <w:r w:rsidRPr="00A321A6">
        <w:rPr>
          <w:sz w:val="18"/>
          <w:szCs w:val="18"/>
          <w:lang w:val="en-GB"/>
        </w:rPr>
        <w:t xml:space="preserve">S. Basu, U. S. Shivhare, A. S. Mujumdar, </w:t>
      </w:r>
      <w:r w:rsidRPr="00A321A6">
        <w:rPr>
          <w:sz w:val="18"/>
          <w:szCs w:val="18"/>
          <w:u w:val="single"/>
          <w:lang w:val="en-GB"/>
        </w:rPr>
        <w:t>Drying Technology</w:t>
      </w:r>
      <w:r w:rsidRPr="00A321A6">
        <w:rPr>
          <w:sz w:val="18"/>
          <w:szCs w:val="18"/>
          <w:lang w:val="en-GB"/>
        </w:rPr>
        <w:t xml:space="preserve">, </w:t>
      </w:r>
      <w:r w:rsidRPr="00A321A6">
        <w:rPr>
          <w:b/>
          <w:sz w:val="18"/>
          <w:szCs w:val="18"/>
          <w:lang w:val="en-GB"/>
        </w:rPr>
        <w:t xml:space="preserve">2006, </w:t>
      </w:r>
      <w:r w:rsidRPr="00A321A6">
        <w:rPr>
          <w:i/>
          <w:sz w:val="18"/>
          <w:szCs w:val="18"/>
          <w:lang w:val="en-GB"/>
        </w:rPr>
        <w:t>Vol 25,</w:t>
      </w:r>
      <w:r w:rsidRPr="00A321A6">
        <w:rPr>
          <w:b/>
          <w:sz w:val="18"/>
          <w:szCs w:val="18"/>
          <w:lang w:val="en-GB"/>
        </w:rPr>
        <w:t xml:space="preserve"> </w:t>
      </w:r>
      <w:r w:rsidRPr="00A321A6">
        <w:rPr>
          <w:sz w:val="18"/>
          <w:szCs w:val="18"/>
          <w:lang w:val="en-GB"/>
        </w:rPr>
        <w:t>917-930</w:t>
      </w:r>
    </w:p>
    <w:p w:rsidR="007A53A0" w:rsidRDefault="00A321A6" w:rsidP="007A53A0">
      <w:pPr>
        <w:spacing w:after="0"/>
        <w:ind w:right="1"/>
        <w:jc w:val="both"/>
        <w:rPr>
          <w:sz w:val="18"/>
          <w:szCs w:val="18"/>
          <w:lang w:val="en-GB"/>
        </w:rPr>
      </w:pPr>
      <w:r w:rsidRPr="00A321A6">
        <w:rPr>
          <w:b/>
          <w:sz w:val="18"/>
          <w:szCs w:val="18"/>
          <w:lang w:val="en-GB"/>
        </w:rPr>
        <w:t xml:space="preserve">[6] </w:t>
      </w:r>
      <w:r w:rsidRPr="00A321A6">
        <w:rPr>
          <w:sz w:val="18"/>
          <w:szCs w:val="18"/>
          <w:lang w:val="en-GB"/>
        </w:rPr>
        <w:t xml:space="preserve">J.L. Lundberg, </w:t>
      </w:r>
      <w:r w:rsidRPr="00A321A6">
        <w:rPr>
          <w:sz w:val="18"/>
          <w:szCs w:val="18"/>
          <w:u w:val="single"/>
          <w:lang w:val="en-GB"/>
        </w:rPr>
        <w:t>Pure and Applied Chemistry</w:t>
      </w:r>
      <w:r w:rsidRPr="00A321A6">
        <w:rPr>
          <w:sz w:val="18"/>
          <w:szCs w:val="18"/>
          <w:lang w:val="en-GB"/>
        </w:rPr>
        <w:t xml:space="preserve">, </w:t>
      </w:r>
      <w:r w:rsidRPr="00A321A6">
        <w:rPr>
          <w:b/>
          <w:sz w:val="18"/>
          <w:szCs w:val="18"/>
          <w:lang w:val="en-GB"/>
        </w:rPr>
        <w:t>1972</w:t>
      </w:r>
      <w:r w:rsidRPr="00A321A6">
        <w:rPr>
          <w:sz w:val="18"/>
          <w:szCs w:val="18"/>
          <w:lang w:val="en-GB"/>
        </w:rPr>
        <w:t xml:space="preserve">, </w:t>
      </w:r>
      <w:r w:rsidRPr="00A321A6">
        <w:rPr>
          <w:i/>
          <w:sz w:val="18"/>
          <w:szCs w:val="18"/>
          <w:lang w:val="en-GB"/>
        </w:rPr>
        <w:t xml:space="preserve">Vol 31, </w:t>
      </w:r>
      <w:r w:rsidRPr="00A321A6">
        <w:rPr>
          <w:sz w:val="18"/>
          <w:szCs w:val="18"/>
          <w:lang w:val="en-GB"/>
        </w:rPr>
        <w:t>261-281</w:t>
      </w:r>
    </w:p>
    <w:p w:rsidR="007A53A0" w:rsidRPr="007A53A0" w:rsidRDefault="007A53A0" w:rsidP="007A53A0">
      <w:pPr>
        <w:spacing w:after="0"/>
        <w:ind w:right="1"/>
        <w:jc w:val="both"/>
        <w:rPr>
          <w:b/>
          <w:i/>
          <w:sz w:val="18"/>
          <w:szCs w:val="18"/>
          <w:lang w:val="en-GB"/>
        </w:rPr>
      </w:pPr>
    </w:p>
    <w:p w:rsidR="00FC37DB" w:rsidRPr="00171EBD" w:rsidRDefault="00FC37DB" w:rsidP="004A0988">
      <w:pPr>
        <w:pStyle w:val="Titre1"/>
        <w:rPr>
          <w:rFonts w:eastAsia="Times New Roman"/>
          <w:u w:val="single"/>
          <w:lang w:eastAsia="en-IN"/>
        </w:rPr>
      </w:pPr>
      <w:r w:rsidRPr="00171EBD">
        <w:rPr>
          <w:rFonts w:eastAsia="Times New Roman"/>
          <w:u w:val="single"/>
          <w:lang w:eastAsia="en-IN"/>
        </w:rPr>
        <w:lastRenderedPageBreak/>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D93428" w:rsidRPr="00A35C70" w:rsidRDefault="00077778" w:rsidP="006829C9">
      <w:pPr>
        <w:spacing w:after="0" w:line="240" w:lineRule="auto"/>
        <w:jc w:val="both"/>
        <w:rPr>
          <w:rFonts w:ascii="Times New Roman" w:eastAsia="Times New Roman" w:hAnsi="Times New Roman" w:cs="Times New Roman"/>
          <w:sz w:val="24"/>
          <w:szCs w:val="24"/>
          <w:lang w:eastAsia="en-IN"/>
        </w:rPr>
      </w:pPr>
      <w:r w:rsidRPr="00A35C70">
        <w:rPr>
          <w:rFonts w:ascii="Times New Roman" w:eastAsia="Times New Roman" w:hAnsi="Times New Roman" w:cs="Times New Roman"/>
          <w:sz w:val="24"/>
          <w:szCs w:val="24"/>
          <w:lang w:eastAsia="en-IN"/>
        </w:rPr>
        <w:t xml:space="preserve">In the final year of my phD, </w:t>
      </w:r>
      <w:r w:rsidR="00D93428" w:rsidRPr="00A35C70">
        <w:rPr>
          <w:rFonts w:ascii="Times New Roman" w:eastAsia="Times New Roman" w:hAnsi="Times New Roman" w:cs="Times New Roman"/>
          <w:sz w:val="24"/>
          <w:szCs w:val="24"/>
          <w:lang w:eastAsia="en-IN"/>
        </w:rPr>
        <w:t>my researches</w:t>
      </w:r>
      <w:r w:rsidR="002F0CDD">
        <w:rPr>
          <w:rFonts w:ascii="Times New Roman" w:eastAsia="Times New Roman" w:hAnsi="Times New Roman" w:cs="Times New Roman"/>
          <w:sz w:val="24"/>
          <w:szCs w:val="24"/>
          <w:lang w:eastAsia="en-IN"/>
        </w:rPr>
        <w:t xml:space="preserve"> are</w:t>
      </w:r>
      <w:r w:rsidR="00D93428" w:rsidRPr="00A35C70">
        <w:rPr>
          <w:rFonts w:ascii="Times New Roman" w:eastAsia="Times New Roman" w:hAnsi="Times New Roman" w:cs="Times New Roman"/>
          <w:sz w:val="24"/>
          <w:szCs w:val="24"/>
          <w:lang w:eastAsia="en-IN"/>
        </w:rPr>
        <w:t xml:space="preserve"> taking place at the IMP laboratory (Ingénierie des Matériaux Polymère) </w:t>
      </w:r>
      <w:r w:rsidR="00A35C70">
        <w:rPr>
          <w:rFonts w:ascii="Times New Roman" w:eastAsia="Times New Roman" w:hAnsi="Times New Roman" w:cs="Times New Roman"/>
          <w:sz w:val="24"/>
          <w:szCs w:val="24"/>
          <w:lang w:eastAsia="en-IN"/>
        </w:rPr>
        <w:t>at Villeurbanne (France)</w:t>
      </w:r>
      <w:r w:rsidR="002F0CDD">
        <w:rPr>
          <w:rFonts w:ascii="Times New Roman" w:eastAsia="Times New Roman" w:hAnsi="Times New Roman" w:cs="Times New Roman"/>
          <w:sz w:val="24"/>
          <w:szCs w:val="24"/>
          <w:lang w:eastAsia="en-IN"/>
        </w:rPr>
        <w:t xml:space="preserve">. This work is financially supported by FUI (Fonds unique Interministériel) in collaboration with several industrial and scientific partners. This project named NOX II is </w:t>
      </w:r>
      <w:r w:rsidR="00D93428" w:rsidRPr="00A35C70">
        <w:rPr>
          <w:rFonts w:ascii="Times New Roman" w:eastAsia="Times New Roman" w:hAnsi="Times New Roman" w:cs="Times New Roman"/>
          <w:sz w:val="24"/>
          <w:szCs w:val="24"/>
          <w:lang w:eastAsia="en-IN"/>
        </w:rPr>
        <w:t xml:space="preserve">dealing with the improvement of </w:t>
      </w:r>
      <w:r w:rsidR="00A35C70" w:rsidRPr="00A35C70">
        <w:rPr>
          <w:rFonts w:ascii="Times New Roman" w:eastAsia="Times New Roman" w:hAnsi="Times New Roman" w:cs="Times New Roman"/>
          <w:sz w:val="24"/>
          <w:szCs w:val="24"/>
          <w:lang w:eastAsia="en-IN"/>
        </w:rPr>
        <w:t xml:space="preserve">the </w:t>
      </w:r>
      <w:r w:rsidR="00D93428" w:rsidRPr="00A35C70">
        <w:rPr>
          <w:rFonts w:ascii="Times New Roman" w:eastAsia="Times New Roman" w:hAnsi="Times New Roman" w:cs="Times New Roman"/>
          <w:sz w:val="24"/>
          <w:szCs w:val="24"/>
          <w:lang w:eastAsia="en-IN"/>
        </w:rPr>
        <w:t>barrier properties of EVOH films for food packaging applications</w:t>
      </w:r>
      <w:r w:rsidR="00A35C70" w:rsidRPr="00A35C70">
        <w:rPr>
          <w:rFonts w:ascii="Times New Roman" w:eastAsia="Times New Roman" w:hAnsi="Times New Roman" w:cs="Times New Roman"/>
          <w:sz w:val="24"/>
          <w:szCs w:val="24"/>
          <w:lang w:eastAsia="en-IN"/>
        </w:rPr>
        <w:t xml:space="preserve">, in order to </w:t>
      </w:r>
      <w:r w:rsidR="00A35C70" w:rsidRPr="00A35C70">
        <w:rPr>
          <w:rFonts w:ascii="Times New Roman" w:hAnsi="Times New Roman" w:cs="Times New Roman"/>
          <w:sz w:val="24"/>
          <w:szCs w:val="24"/>
          <w:lang w:val="en-GB"/>
        </w:rPr>
        <w:t>extend the life span</w:t>
      </w:r>
      <w:r w:rsidR="00A35C70" w:rsidRPr="00A35C70" w:rsidDel="00825430">
        <w:rPr>
          <w:rFonts w:ascii="Times New Roman" w:hAnsi="Times New Roman" w:cs="Times New Roman"/>
          <w:sz w:val="24"/>
          <w:szCs w:val="24"/>
          <w:lang w:val="en-GB"/>
        </w:rPr>
        <w:t xml:space="preserve"> </w:t>
      </w:r>
      <w:r w:rsidR="00A35C70" w:rsidRPr="00A35C70">
        <w:rPr>
          <w:rFonts w:ascii="Times New Roman" w:hAnsi="Times New Roman" w:cs="Times New Roman"/>
          <w:sz w:val="24"/>
          <w:szCs w:val="24"/>
          <w:lang w:val="en-GB"/>
        </w:rPr>
        <w:t>of the products</w:t>
      </w:r>
      <w:r w:rsidR="00D93428" w:rsidRPr="00A35C70">
        <w:rPr>
          <w:rFonts w:ascii="Times New Roman" w:eastAsia="Times New Roman" w:hAnsi="Times New Roman" w:cs="Times New Roman"/>
          <w:sz w:val="24"/>
          <w:szCs w:val="24"/>
          <w:lang w:eastAsia="en-IN"/>
        </w:rPr>
        <w:t>.</w:t>
      </w:r>
    </w:p>
    <w:p w:rsidR="006829C9" w:rsidRPr="00FC37DB" w:rsidRDefault="006829C9" w:rsidP="006829C9">
      <w:pPr>
        <w:spacing w:after="0" w:line="240" w:lineRule="auto"/>
        <w:jc w:val="both"/>
        <w:rPr>
          <w:rFonts w:ascii="Times New Roman" w:eastAsia="Times New Roman" w:hAnsi="Times New Roman" w:cs="Times New Roman"/>
          <w:sz w:val="25"/>
          <w:szCs w:val="25"/>
          <w:lang w:eastAsia="en-IN"/>
        </w:rPr>
      </w:pPr>
    </w:p>
    <w:p w:rsidR="006829C9" w:rsidRDefault="006829C9" w:rsidP="006829C9">
      <w:pPr>
        <w:spacing w:after="0" w:line="240" w:lineRule="auto"/>
        <w:jc w:val="both"/>
      </w:pPr>
    </w:p>
    <w:p w:rsidR="006829C9" w:rsidRPr="00A321A6" w:rsidRDefault="006829C9" w:rsidP="006829C9">
      <w:pPr>
        <w:spacing w:after="0" w:line="240" w:lineRule="auto"/>
        <w:jc w:val="both"/>
        <w:rPr>
          <w:rFonts w:asciiTheme="majorHAnsi" w:eastAsia="Times New Roman" w:hAnsiTheme="majorHAnsi" w:cstheme="majorBidi"/>
          <w:b/>
          <w:bCs/>
          <w:i/>
          <w:iCs/>
          <w:sz w:val="28"/>
          <w:szCs w:val="28"/>
          <w:lang w:val="en-GB" w:eastAsia="en-IN"/>
        </w:rPr>
      </w:pPr>
      <w:r w:rsidRPr="00171EBD">
        <w:rPr>
          <w:rFonts w:asciiTheme="majorHAnsi" w:eastAsia="Times New Roman" w:hAnsiTheme="majorHAnsi" w:cstheme="majorBidi"/>
          <w:color w:val="AA610D" w:themeColor="accent1" w:themeShade="BF"/>
          <w:sz w:val="28"/>
          <w:szCs w:val="28"/>
          <w:lang w:eastAsia="en-IN"/>
        </w:rPr>
        <w:t>Research Interests:</w:t>
      </w:r>
      <w:r w:rsidR="00A321A6">
        <w:rPr>
          <w:rFonts w:asciiTheme="majorHAnsi" w:eastAsia="Times New Roman" w:hAnsiTheme="majorHAnsi" w:cstheme="majorBidi"/>
          <w:color w:val="AA610D" w:themeColor="accent1" w:themeShade="BF"/>
          <w:sz w:val="28"/>
          <w:szCs w:val="28"/>
          <w:lang w:eastAsia="en-IN"/>
        </w:rPr>
        <w:t xml:space="preserve"> </w:t>
      </w:r>
      <w:r w:rsidR="002F0CDD">
        <w:rPr>
          <w:rFonts w:ascii="Times New Roman" w:eastAsia="Times New Roman" w:hAnsi="Times New Roman" w:cs="Times New Roman"/>
          <w:sz w:val="24"/>
          <w:szCs w:val="24"/>
          <w:lang w:val="en-GB" w:eastAsia="en-IN"/>
        </w:rPr>
        <w:t xml:space="preserve">Thermoplastic </w:t>
      </w:r>
      <w:r w:rsidR="00A321A6" w:rsidRPr="00E36439">
        <w:rPr>
          <w:rFonts w:ascii="Times New Roman" w:eastAsia="Times New Roman" w:hAnsi="Times New Roman" w:cs="Times New Roman"/>
          <w:sz w:val="24"/>
          <w:szCs w:val="24"/>
          <w:lang w:val="en-GB" w:eastAsia="en-IN"/>
        </w:rPr>
        <w:t>polymers</w:t>
      </w:r>
      <w:r w:rsidR="009B6CE0">
        <w:rPr>
          <w:rFonts w:ascii="Times New Roman" w:eastAsia="Times New Roman" w:hAnsi="Times New Roman" w:cs="Times New Roman"/>
          <w:sz w:val="24"/>
          <w:szCs w:val="24"/>
          <w:lang w:val="en-GB" w:eastAsia="en-IN"/>
        </w:rPr>
        <w:t xml:space="preserve"> characterization</w:t>
      </w:r>
      <w:r w:rsidR="00A321A6" w:rsidRPr="00E36439">
        <w:rPr>
          <w:rFonts w:ascii="Times New Roman" w:eastAsia="Times New Roman" w:hAnsi="Times New Roman" w:cs="Times New Roman"/>
          <w:sz w:val="24"/>
          <w:szCs w:val="24"/>
          <w:lang w:val="en-GB" w:eastAsia="en-IN"/>
        </w:rPr>
        <w:t xml:space="preserve">, </w:t>
      </w:r>
      <w:r w:rsidR="002F0CDD">
        <w:rPr>
          <w:rFonts w:ascii="Times New Roman" w:eastAsia="Times New Roman" w:hAnsi="Times New Roman" w:cs="Times New Roman"/>
          <w:sz w:val="24"/>
          <w:szCs w:val="24"/>
          <w:lang w:val="en-GB" w:eastAsia="en-IN"/>
        </w:rPr>
        <w:t>water vapour sorption</w:t>
      </w:r>
      <w:r w:rsidR="00A35C70">
        <w:rPr>
          <w:rFonts w:ascii="Times New Roman" w:eastAsia="Times New Roman" w:hAnsi="Times New Roman" w:cs="Times New Roman"/>
          <w:sz w:val="24"/>
          <w:szCs w:val="24"/>
          <w:lang w:val="en-GB" w:eastAsia="en-IN"/>
        </w:rPr>
        <w:t xml:space="preserve">, </w:t>
      </w:r>
      <w:r w:rsidR="002F0CDD">
        <w:rPr>
          <w:rFonts w:ascii="Times New Roman" w:eastAsia="Times New Roman" w:hAnsi="Times New Roman" w:cs="Times New Roman"/>
          <w:sz w:val="24"/>
          <w:szCs w:val="24"/>
          <w:lang w:val="en-GB" w:eastAsia="en-IN"/>
        </w:rPr>
        <w:t xml:space="preserve">oxygen barrier properties, </w:t>
      </w:r>
      <w:r w:rsidR="00A321A6" w:rsidRPr="00E36439">
        <w:rPr>
          <w:rFonts w:ascii="Times New Roman" w:eastAsia="Times New Roman" w:hAnsi="Times New Roman" w:cs="Times New Roman"/>
          <w:sz w:val="24"/>
          <w:szCs w:val="24"/>
          <w:lang w:val="en-GB" w:eastAsia="en-IN"/>
        </w:rPr>
        <w:t>mechanical properties</w:t>
      </w:r>
      <w:r w:rsidR="00A35C70">
        <w:rPr>
          <w:rFonts w:ascii="Times New Roman" w:eastAsia="Times New Roman" w:hAnsi="Times New Roman" w:cs="Times New Roman"/>
          <w:sz w:val="24"/>
          <w:szCs w:val="24"/>
          <w:lang w:val="en-GB" w:eastAsia="en-IN"/>
        </w:rPr>
        <w:t xml:space="preserve">, </w:t>
      </w:r>
      <w:r w:rsidR="002F0CDD">
        <w:rPr>
          <w:rFonts w:ascii="Times New Roman" w:eastAsia="Times New Roman" w:hAnsi="Times New Roman" w:cs="Times New Roman"/>
          <w:sz w:val="24"/>
          <w:szCs w:val="24"/>
          <w:lang w:val="en-GB" w:eastAsia="en-IN"/>
        </w:rPr>
        <w:t>plasticization effects.</w:t>
      </w:r>
    </w:p>
    <w:p w:rsidR="006829C9" w:rsidRPr="00171EBD" w:rsidRDefault="006829C9" w:rsidP="006829C9">
      <w:pPr>
        <w:spacing w:after="0" w:line="240" w:lineRule="auto"/>
        <w:jc w:val="both"/>
        <w:rPr>
          <w:sz w:val="28"/>
          <w:szCs w:val="28"/>
        </w:rPr>
      </w:pPr>
    </w:p>
    <w:p w:rsidR="006829C9" w:rsidRPr="00E36439" w:rsidRDefault="006829C9" w:rsidP="006829C9">
      <w:pPr>
        <w:spacing w:after="0" w:line="240" w:lineRule="auto"/>
        <w:jc w:val="both"/>
        <w:rPr>
          <w:rFonts w:asciiTheme="majorHAnsi" w:eastAsia="Times New Roman" w:hAnsiTheme="majorHAnsi" w:cstheme="majorBidi"/>
          <w:color w:val="AA610D" w:themeColor="accent1" w:themeShade="BF"/>
          <w:sz w:val="24"/>
          <w:szCs w:val="24"/>
          <w:lang w:val="en-US" w:eastAsia="en-IN"/>
        </w:rPr>
      </w:pPr>
      <w:r w:rsidRPr="00171EBD">
        <w:rPr>
          <w:rFonts w:asciiTheme="majorHAnsi" w:eastAsia="Times New Roman" w:hAnsiTheme="majorHAnsi" w:cstheme="majorBidi"/>
          <w:color w:val="AA610D" w:themeColor="accent1" w:themeShade="BF"/>
          <w:sz w:val="28"/>
          <w:szCs w:val="28"/>
          <w:lang w:eastAsia="en-IN"/>
        </w:rPr>
        <w:t>References:</w:t>
      </w:r>
      <w:r w:rsidR="00A321A6">
        <w:rPr>
          <w:rFonts w:asciiTheme="majorHAnsi" w:eastAsia="Times New Roman" w:hAnsiTheme="majorHAnsi" w:cstheme="majorBidi"/>
          <w:color w:val="AA610D" w:themeColor="accent1" w:themeShade="BF"/>
          <w:sz w:val="28"/>
          <w:szCs w:val="28"/>
          <w:lang w:eastAsia="en-IN"/>
        </w:rPr>
        <w:t xml:space="preserve"> </w:t>
      </w:r>
      <w:r w:rsidR="00E36439" w:rsidRPr="00E36439">
        <w:rPr>
          <w:rFonts w:ascii="Times New Roman" w:hAnsi="Times New Roman" w:cs="Times New Roman"/>
          <w:sz w:val="24"/>
          <w:szCs w:val="24"/>
          <w:lang w:val="en-US"/>
        </w:rPr>
        <w:t xml:space="preserve">Blanchard, A., Gouanvé, F. &amp; Espuche, E. Effect of humidity on mechanical, thermal and barrier properties of EVOH films. </w:t>
      </w:r>
      <w:r w:rsidR="00E36439" w:rsidRPr="00E36439">
        <w:rPr>
          <w:rFonts w:ascii="Times New Roman" w:hAnsi="Times New Roman" w:cs="Times New Roman"/>
          <w:i/>
          <w:iCs/>
          <w:sz w:val="24"/>
          <w:szCs w:val="24"/>
        </w:rPr>
        <w:t>J. Membr. Sci.</w:t>
      </w:r>
      <w:r w:rsidR="00E36439" w:rsidRPr="00E36439">
        <w:rPr>
          <w:rFonts w:ascii="Times New Roman" w:hAnsi="Times New Roman" w:cs="Times New Roman"/>
          <w:sz w:val="24"/>
          <w:szCs w:val="24"/>
        </w:rPr>
        <w:t xml:space="preserve"> </w:t>
      </w:r>
      <w:r w:rsidR="00E36439" w:rsidRPr="00E36439">
        <w:rPr>
          <w:rFonts w:ascii="Times New Roman" w:hAnsi="Times New Roman" w:cs="Times New Roman"/>
          <w:b/>
          <w:bCs/>
          <w:sz w:val="24"/>
          <w:szCs w:val="24"/>
        </w:rPr>
        <w:t>540,</w:t>
      </w:r>
      <w:r w:rsidR="00E36439" w:rsidRPr="00E36439">
        <w:rPr>
          <w:rFonts w:ascii="Times New Roman" w:hAnsi="Times New Roman" w:cs="Times New Roman"/>
          <w:sz w:val="24"/>
          <w:szCs w:val="24"/>
        </w:rPr>
        <w:t xml:space="preserve"> 1–9 (2017).</w:t>
      </w:r>
    </w:p>
    <w:p w:rsidR="006829C9" w:rsidRPr="00171EBD" w:rsidRDefault="006829C9" w:rsidP="006829C9">
      <w:pPr>
        <w:spacing w:after="0" w:line="240" w:lineRule="auto"/>
        <w:jc w:val="both"/>
        <w:rPr>
          <w:rFonts w:ascii="Times New Roman" w:eastAsia="Times New Roman" w:hAnsi="Times New Roman" w:cs="Times New Roman"/>
          <w:i/>
          <w:sz w:val="28"/>
          <w:szCs w:val="28"/>
          <w:u w:val="single"/>
          <w:lang w:eastAsia="en-IN"/>
        </w:rPr>
      </w:pPr>
    </w:p>
    <w:p w:rsidR="00FC37DB" w:rsidRPr="00E36439" w:rsidRDefault="006829C9" w:rsidP="006829C9">
      <w:pPr>
        <w:spacing w:after="0" w:line="240" w:lineRule="auto"/>
        <w:jc w:val="both"/>
        <w:rPr>
          <w:rFonts w:ascii="Times New Roman" w:eastAsia="Times New Roman" w:hAnsi="Times New Roman" w:cs="Times New Roman"/>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r w:rsidR="00A321A6">
        <w:rPr>
          <w:rFonts w:asciiTheme="majorHAnsi" w:eastAsia="Times New Roman" w:hAnsiTheme="majorHAnsi" w:cstheme="majorBidi"/>
          <w:color w:val="AA610D" w:themeColor="accent1" w:themeShade="BF"/>
          <w:sz w:val="28"/>
          <w:szCs w:val="28"/>
          <w:lang w:eastAsia="en-IN"/>
        </w:rPr>
        <w:t xml:space="preserve"> </w:t>
      </w:r>
      <w:r w:rsidR="00A321A6" w:rsidRPr="00E36439">
        <w:rPr>
          <w:rFonts w:ascii="Times New Roman" w:eastAsia="Times New Roman" w:hAnsi="Times New Roman" w:cs="Times New Roman"/>
          <w:sz w:val="24"/>
          <w:szCs w:val="24"/>
          <w:lang w:eastAsia="en-IN"/>
        </w:rPr>
        <w:t>anthony.blanchard@live.fr</w:t>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077778" w:rsidRDefault="006829C9" w:rsidP="006829C9">
      <w:pPr>
        <w:spacing w:after="0" w:line="240" w:lineRule="auto"/>
        <w:jc w:val="both"/>
        <w:rPr>
          <w:rFonts w:ascii="Times New Roman" w:eastAsia="Times New Roman" w:hAnsi="Times New Roman" w:cs="Times New Roman"/>
          <w:sz w:val="24"/>
          <w:szCs w:val="24"/>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A321A6">
        <w:rPr>
          <w:rFonts w:asciiTheme="majorHAnsi" w:eastAsia="Times New Roman" w:hAnsiTheme="majorHAnsi" w:cstheme="majorBidi"/>
          <w:color w:val="AA610D" w:themeColor="accent1" w:themeShade="BF"/>
          <w:sz w:val="28"/>
          <w:szCs w:val="28"/>
          <w:lang w:eastAsia="en-IN"/>
        </w:rPr>
        <w:t xml:space="preserve"> </w:t>
      </w:r>
      <w:r w:rsidR="00077778" w:rsidRPr="00077778">
        <w:rPr>
          <w:rFonts w:ascii="Times New Roman" w:eastAsia="Times New Roman" w:hAnsi="Times New Roman" w:cs="Times New Roman"/>
          <w:sz w:val="24"/>
          <w:szCs w:val="24"/>
          <w:lang w:eastAsia="en-IN"/>
        </w:rPr>
        <w:t>0472432715</w:t>
      </w:r>
    </w:p>
    <w:p w:rsidR="00171EBD" w:rsidRPr="00171EBD" w:rsidRDefault="00171EBD"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171EBD" w:rsidRPr="00171EBD" w:rsidRDefault="00171EBD"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colleagues/Professors/scholars to send invitation (if any)</w:t>
      </w:r>
    </w:p>
    <w:p w:rsidR="004D4A62" w:rsidRPr="00171EBD" w:rsidRDefault="004D4A62"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Pr="00171EBD" w:rsidRDefault="004D4A62" w:rsidP="00171EBD">
      <w:pPr>
        <w:spacing w:after="0" w:line="240" w:lineRule="auto"/>
        <w:jc w:val="both"/>
        <w:rPr>
          <w:sz w:val="28"/>
          <w:szCs w:val="28"/>
        </w:rPr>
      </w:pPr>
      <w:r w:rsidRPr="00171EBD">
        <w:rPr>
          <w:rFonts w:asciiTheme="majorHAnsi" w:eastAsia="Times New Roman" w:hAnsiTheme="majorHAnsi" w:cstheme="majorBidi"/>
          <w:color w:val="AA610D" w:themeColor="accent1" w:themeShade="BF"/>
          <w:sz w:val="28"/>
          <w:szCs w:val="28"/>
          <w:lang w:eastAsia="en-IN"/>
        </w:rPr>
        <w:t>Suggestions of Sessions in the conference (if any)</w:t>
      </w: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6DE8" w:rsidRDefault="00F26DE8" w:rsidP="004A0988">
      <w:pPr>
        <w:spacing w:after="0" w:line="240" w:lineRule="auto"/>
      </w:pPr>
      <w:r>
        <w:separator/>
      </w:r>
    </w:p>
  </w:endnote>
  <w:endnote w:type="continuationSeparator" w:id="0">
    <w:p w:rsidR="00F26DE8" w:rsidRDefault="00F26DE8" w:rsidP="004A09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NewCenturySchlbk-Roman">
    <w:panose1 w:val="00000000000000000000"/>
    <w:charset w:val="00"/>
    <w:family w:val="roman"/>
    <w:notTrueType/>
    <w:pitch w:val="default"/>
    <w:sig w:usb0="00000003" w:usb1="00000000" w:usb2="00000000" w:usb3="00000000" w:csb0="00000001" w:csb1="00000000"/>
  </w:font>
  <w:font w:name="Optima-Bold">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6DE8" w:rsidRDefault="00F26DE8" w:rsidP="004A0988">
      <w:pPr>
        <w:spacing w:after="0" w:line="240" w:lineRule="auto"/>
      </w:pPr>
      <w:r>
        <w:separator/>
      </w:r>
    </w:p>
  </w:footnote>
  <w:footnote w:type="continuationSeparator" w:id="0">
    <w:p w:rsidR="00F26DE8" w:rsidRDefault="00F26DE8" w:rsidP="004A098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1"/>
    <w:footnote w:id="0"/>
  </w:footnotePr>
  <w:endnotePr>
    <w:endnote w:id="-1"/>
    <w:endnote w:id="0"/>
  </w:endnotePr>
  <w:compat/>
  <w:rsids>
    <w:rsidRoot w:val="00FC37DB"/>
    <w:rsid w:val="00057F95"/>
    <w:rsid w:val="000628E4"/>
    <w:rsid w:val="00077778"/>
    <w:rsid w:val="00171EBD"/>
    <w:rsid w:val="002F0CDD"/>
    <w:rsid w:val="00400F76"/>
    <w:rsid w:val="004A0988"/>
    <w:rsid w:val="004D4A62"/>
    <w:rsid w:val="005116CB"/>
    <w:rsid w:val="006829C9"/>
    <w:rsid w:val="0073088B"/>
    <w:rsid w:val="0079351B"/>
    <w:rsid w:val="007A53A0"/>
    <w:rsid w:val="007E5440"/>
    <w:rsid w:val="008505E3"/>
    <w:rsid w:val="0085336B"/>
    <w:rsid w:val="009A5A78"/>
    <w:rsid w:val="009B6CE0"/>
    <w:rsid w:val="00A3017E"/>
    <w:rsid w:val="00A321A6"/>
    <w:rsid w:val="00A35C70"/>
    <w:rsid w:val="00B53C79"/>
    <w:rsid w:val="00C63195"/>
    <w:rsid w:val="00C643B3"/>
    <w:rsid w:val="00CD02BC"/>
    <w:rsid w:val="00D93428"/>
    <w:rsid w:val="00E36439"/>
    <w:rsid w:val="00F26DE8"/>
    <w:rsid w:val="00F4197A"/>
    <w:rsid w:val="00FC37D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5E3"/>
  </w:style>
  <w:style w:type="paragraph" w:styleId="Titre1">
    <w:name w:val="heading 1"/>
    <w:basedOn w:val="Normal"/>
    <w:next w:val="Normal"/>
    <w:link w:val="Titre1C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Titre2">
    <w:name w:val="heading 2"/>
    <w:basedOn w:val="Normal"/>
    <w:next w:val="Normal"/>
    <w:link w:val="Titre2C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829C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829C9"/>
    <w:rPr>
      <w:rFonts w:ascii="Tahoma" w:hAnsi="Tahoma" w:cs="Tahoma"/>
      <w:sz w:val="16"/>
      <w:szCs w:val="16"/>
    </w:rPr>
  </w:style>
  <w:style w:type="paragraph" w:styleId="En-tte">
    <w:name w:val="header"/>
    <w:basedOn w:val="Normal"/>
    <w:link w:val="En-tteCar"/>
    <w:uiPriority w:val="99"/>
    <w:unhideWhenUsed/>
    <w:rsid w:val="004A0988"/>
    <w:pPr>
      <w:tabs>
        <w:tab w:val="center" w:pos="4680"/>
        <w:tab w:val="right" w:pos="9360"/>
      </w:tabs>
      <w:spacing w:after="0" w:line="240" w:lineRule="auto"/>
    </w:pPr>
  </w:style>
  <w:style w:type="character" w:customStyle="1" w:styleId="En-tteCar">
    <w:name w:val="En-tête Car"/>
    <w:basedOn w:val="Policepardfaut"/>
    <w:link w:val="En-tte"/>
    <w:uiPriority w:val="99"/>
    <w:rsid w:val="004A0988"/>
  </w:style>
  <w:style w:type="paragraph" w:styleId="Pieddepage">
    <w:name w:val="footer"/>
    <w:basedOn w:val="Normal"/>
    <w:link w:val="PieddepageCar"/>
    <w:uiPriority w:val="99"/>
    <w:unhideWhenUsed/>
    <w:rsid w:val="004A0988"/>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4A0988"/>
  </w:style>
  <w:style w:type="character" w:customStyle="1" w:styleId="Titre2Car">
    <w:name w:val="Titre 2 Car"/>
    <w:basedOn w:val="Policepardfaut"/>
    <w:link w:val="Titre2"/>
    <w:uiPriority w:val="9"/>
    <w:rsid w:val="004A0988"/>
    <w:rPr>
      <w:rFonts w:asciiTheme="majorHAnsi" w:eastAsiaTheme="majorEastAsia" w:hAnsiTheme="majorHAnsi" w:cstheme="majorBidi"/>
      <w:color w:val="AA610D" w:themeColor="accent1" w:themeShade="BF"/>
      <w:sz w:val="26"/>
      <w:szCs w:val="26"/>
    </w:rPr>
  </w:style>
  <w:style w:type="character" w:customStyle="1" w:styleId="Titre1Car">
    <w:name w:val="Titre 1 Car"/>
    <w:basedOn w:val="Policepardfaut"/>
    <w:link w:val="Titre1"/>
    <w:uiPriority w:val="9"/>
    <w:rsid w:val="004A0988"/>
    <w:rPr>
      <w:rFonts w:asciiTheme="majorHAnsi" w:eastAsiaTheme="majorEastAsia" w:hAnsiTheme="majorHAnsi" w:cstheme="majorBidi"/>
      <w:color w:val="AA610D" w:themeColor="accent1" w:themeShade="BF"/>
      <w:sz w:val="32"/>
      <w:szCs w:val="32"/>
    </w:rPr>
  </w:style>
  <w:style w:type="paragraph" w:customStyle="1" w:styleId="TTPParagraphothers">
    <w:name w:val="TTP Paragraph (others)"/>
    <w:basedOn w:val="Normal"/>
    <w:uiPriority w:val="99"/>
    <w:rsid w:val="00A321A6"/>
    <w:pPr>
      <w:autoSpaceDE w:val="0"/>
      <w:autoSpaceDN w:val="0"/>
      <w:spacing w:after="0" w:line="240" w:lineRule="auto"/>
      <w:ind w:firstLine="283"/>
      <w:jc w:val="both"/>
    </w:pPr>
    <w:rPr>
      <w:rFonts w:ascii="Times New Roman" w:eastAsia="Times New Roman" w:hAnsi="Times New Roman" w:cs="Times New Roman"/>
      <w:sz w:val="24"/>
      <w:szCs w:val="24"/>
      <w:lang w:val="en-US"/>
    </w:rPr>
  </w:style>
  <w:style w:type="paragraph" w:customStyle="1" w:styleId="TTPParagraph1st">
    <w:name w:val="TTP Paragraph (1st)"/>
    <w:basedOn w:val="Normal"/>
    <w:next w:val="TTPParagraphothers"/>
    <w:uiPriority w:val="99"/>
    <w:rsid w:val="00A321A6"/>
    <w:pPr>
      <w:autoSpaceDE w:val="0"/>
      <w:autoSpaceDN w:val="0"/>
      <w:spacing w:after="0" w:line="240" w:lineRule="auto"/>
      <w:jc w:val="both"/>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2</Pages>
  <Words>567</Words>
  <Characters>3121</Characters>
  <Application>Microsoft Office Word</Application>
  <DocSecurity>0</DocSecurity>
  <Lines>26</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valerie.servat</cp:lastModifiedBy>
  <cp:revision>12</cp:revision>
  <dcterms:created xsi:type="dcterms:W3CDTF">2018-01-24T09:53:00Z</dcterms:created>
  <dcterms:modified xsi:type="dcterms:W3CDTF">2018-01-25T15:28:00Z</dcterms:modified>
</cp:coreProperties>
</file>