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 wp14:anchorId="03C4D3B9" wp14:editId="30FB23CB">
            <wp:extent cx="811234" cy="8572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234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0041C9" w:rsidRDefault="00FC37DB" w:rsidP="004A0988">
      <w:pPr>
        <w:pStyle w:val="Heading2"/>
        <w:rPr>
          <w:rFonts w:eastAsia="Times New Roman"/>
          <w:b/>
          <w:lang w:val="en-US"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0041C9">
        <w:rPr>
          <w:rFonts w:eastAsia="Times New Roman"/>
          <w:b/>
          <w:lang w:eastAsia="en-IN"/>
        </w:rPr>
        <w:t xml:space="preserve"> </w:t>
      </w:r>
      <w:r w:rsidR="000041C9" w:rsidRPr="000041C9">
        <w:rPr>
          <w:rFonts w:eastAsia="Times New Roman"/>
          <w:b/>
          <w:lang w:eastAsia="en-IN"/>
        </w:rPr>
        <w:t>Carbon and graphite filler composites of ethylene-octene copolymer – Potential candidates for pressure/strain sensors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3B6D4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Dr. Rajesh Theravalappil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3B6D4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Center for Refining and Petrochemicals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3B6D4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King Fahd University of Petroleum and Minerals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3B6D4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Saudi Arabia.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  <w:bookmarkStart w:id="0" w:name="_GoBack"/>
      <w:bookmarkEnd w:id="0"/>
    </w:p>
    <w:p w:rsidR="003B6D40" w:rsidRPr="003B6D40" w:rsidRDefault="003B6D40" w:rsidP="00C254C7">
      <w:pPr>
        <w:jc w:val="both"/>
        <w:rPr>
          <w:rFonts w:asciiTheme="majorBidi" w:hAnsiTheme="majorBidi" w:cstheme="majorBidi"/>
          <w:sz w:val="25"/>
          <w:szCs w:val="25"/>
        </w:rPr>
      </w:pPr>
      <w:r w:rsidRPr="003B6D40">
        <w:rPr>
          <w:rFonts w:asciiTheme="majorBidi" w:hAnsiTheme="majorBidi" w:cstheme="majorBidi"/>
          <w:sz w:val="25"/>
          <w:szCs w:val="25"/>
        </w:rPr>
        <w:t xml:space="preserve">Ethylene-octene copolymer (EOC) is a </w:t>
      </w:r>
      <w:r w:rsidR="00361E5B">
        <w:rPr>
          <w:rFonts w:asciiTheme="majorBidi" w:hAnsiTheme="majorBidi" w:cstheme="majorBidi"/>
          <w:sz w:val="25"/>
          <w:szCs w:val="25"/>
        </w:rPr>
        <w:t>co</w:t>
      </w:r>
      <w:r w:rsidRPr="003B6D40">
        <w:rPr>
          <w:rFonts w:asciiTheme="majorBidi" w:hAnsiTheme="majorBidi" w:cstheme="majorBidi"/>
          <w:sz w:val="25"/>
          <w:szCs w:val="25"/>
        </w:rPr>
        <w:t>polymer which exhibits low density, good elasticity and improved processability</w:t>
      </w:r>
      <w:r w:rsidR="003A6644">
        <w:rPr>
          <w:rFonts w:asciiTheme="majorBidi" w:hAnsiTheme="majorBidi" w:cstheme="majorBidi"/>
          <w:sz w:val="25"/>
          <w:szCs w:val="25"/>
        </w:rPr>
        <w:t xml:space="preserve"> and widely </w:t>
      </w:r>
      <w:r w:rsidRPr="003B6D40">
        <w:rPr>
          <w:rFonts w:asciiTheme="majorBidi" w:hAnsiTheme="majorBidi" w:cstheme="majorBidi"/>
          <w:sz w:val="25"/>
          <w:szCs w:val="25"/>
        </w:rPr>
        <w:t>being used in the automotive, electrical cable insulation and footwear applications. Conducting polymer composites of EOC (with octene content of 45 wt. %) were prepared using three different types of fillers; expandable graphite (EG), multiwall carbon nanotube (MWCNT) and carbon fiber (CF). EOC/EG composites were prepared by melt blending of EOC and EG, while EOC/MWCNT and EOC/CF composites were prepared by ultrasonication of EOC solutions/filler systems followed by precipitation. Electrical (both AC and DC) and thermal conductivities of composites were measured. Flammability resistance tests of the EOC/EG composites only were carried out</w:t>
      </w:r>
      <w:r w:rsidR="00361E5B">
        <w:rPr>
          <w:rFonts w:asciiTheme="majorBidi" w:hAnsiTheme="majorBidi" w:cstheme="majorBidi"/>
          <w:sz w:val="25"/>
          <w:szCs w:val="25"/>
        </w:rPr>
        <w:t xml:space="preserve"> and showed that </w:t>
      </w:r>
      <w:r w:rsidR="00361E5B" w:rsidRPr="003B6D40">
        <w:rPr>
          <w:rFonts w:asciiTheme="majorBidi" w:hAnsiTheme="majorBidi" w:cstheme="majorBidi"/>
          <w:sz w:val="25"/>
          <w:szCs w:val="25"/>
        </w:rPr>
        <w:t xml:space="preserve">expandable graphite </w:t>
      </w:r>
      <w:r w:rsidR="00361E5B">
        <w:rPr>
          <w:rFonts w:asciiTheme="majorBidi" w:hAnsiTheme="majorBidi" w:cstheme="majorBidi"/>
          <w:sz w:val="25"/>
          <w:szCs w:val="25"/>
        </w:rPr>
        <w:t>i</w:t>
      </w:r>
      <w:r w:rsidR="00361E5B" w:rsidRPr="003B6D40">
        <w:rPr>
          <w:rFonts w:asciiTheme="majorBidi" w:hAnsiTheme="majorBidi" w:cstheme="majorBidi"/>
          <w:sz w:val="25"/>
          <w:szCs w:val="25"/>
        </w:rPr>
        <w:t>s</w:t>
      </w:r>
      <w:r w:rsidR="00361E5B">
        <w:rPr>
          <w:rFonts w:asciiTheme="majorBidi" w:hAnsiTheme="majorBidi" w:cstheme="majorBidi"/>
          <w:sz w:val="25"/>
          <w:szCs w:val="25"/>
        </w:rPr>
        <w:t xml:space="preserve"> an</w:t>
      </w:r>
      <w:r w:rsidR="00361E5B" w:rsidRPr="003B6D40">
        <w:rPr>
          <w:rFonts w:asciiTheme="majorBidi" w:hAnsiTheme="majorBidi" w:cstheme="majorBidi"/>
          <w:sz w:val="25"/>
          <w:szCs w:val="25"/>
        </w:rPr>
        <w:t xml:space="preserve"> excellent flame-retardant filler. </w:t>
      </w:r>
      <w:r w:rsidRPr="003B6D40">
        <w:rPr>
          <w:rFonts w:asciiTheme="majorBidi" w:hAnsiTheme="majorBidi" w:cstheme="majorBidi"/>
          <w:sz w:val="25"/>
          <w:szCs w:val="25"/>
        </w:rPr>
        <w:t xml:space="preserve">Percolation behaviour of EOC/EG composites were observed at around 16 vol. % of filler loading while for EOC/CF it was at, 2.21 vol. % and for EOC/MWCNT, it was at 5.32 vol.% which is a clear indication of effect of filler, or  aspect ratio of fillers in the composites. </w:t>
      </w:r>
      <w:r w:rsidR="00C254C7" w:rsidRPr="003B6D40">
        <w:rPr>
          <w:rFonts w:asciiTheme="majorBidi" w:hAnsiTheme="majorBidi" w:cstheme="majorBidi"/>
          <w:bCs/>
          <w:color w:val="000000"/>
          <w:sz w:val="25"/>
          <w:szCs w:val="25"/>
        </w:rPr>
        <w:t xml:space="preserve">Stress at break and elongation at break of EOC/MWCNT and EOC/CF composites found increasing initially and followed a downward trend which is mainly due to reduction in chain flexibility which predominates over the reinforcing effect of fillers. </w:t>
      </w:r>
      <w:r w:rsidR="00361E5B">
        <w:rPr>
          <w:rFonts w:asciiTheme="majorBidi" w:hAnsiTheme="majorBidi" w:cstheme="majorBidi"/>
          <w:sz w:val="25"/>
          <w:szCs w:val="25"/>
        </w:rPr>
        <w:t>From s</w:t>
      </w:r>
      <w:r w:rsidRPr="003B6D40">
        <w:rPr>
          <w:rFonts w:asciiTheme="majorBidi" w:hAnsiTheme="majorBidi" w:cstheme="majorBidi"/>
          <w:sz w:val="25"/>
          <w:szCs w:val="25"/>
        </w:rPr>
        <w:t>hore-A hardness values</w:t>
      </w:r>
      <w:r w:rsidR="00361E5B">
        <w:rPr>
          <w:rFonts w:asciiTheme="majorBidi" w:hAnsiTheme="majorBidi" w:cstheme="majorBidi"/>
          <w:sz w:val="25"/>
          <w:szCs w:val="25"/>
        </w:rPr>
        <w:t>, it is clear that</w:t>
      </w:r>
      <w:r w:rsidRPr="003B6D40">
        <w:rPr>
          <w:rFonts w:asciiTheme="majorBidi" w:hAnsiTheme="majorBidi" w:cstheme="majorBidi"/>
          <w:sz w:val="25"/>
          <w:szCs w:val="25"/>
        </w:rPr>
        <w:t xml:space="preserve"> even the highest filler level did not </w:t>
      </w:r>
      <w:r w:rsidR="00361E5B">
        <w:rPr>
          <w:rFonts w:asciiTheme="majorBidi" w:hAnsiTheme="majorBidi" w:cstheme="majorBidi"/>
          <w:sz w:val="25"/>
          <w:szCs w:val="25"/>
        </w:rPr>
        <w:t>reduce</w:t>
      </w:r>
      <w:r w:rsidRPr="003B6D40">
        <w:rPr>
          <w:rFonts w:asciiTheme="majorBidi" w:hAnsiTheme="majorBidi" w:cstheme="majorBidi"/>
          <w:sz w:val="25"/>
          <w:szCs w:val="25"/>
        </w:rPr>
        <w:t xml:space="preserve"> the softness of </w:t>
      </w:r>
      <w:r w:rsidR="00361E5B">
        <w:rPr>
          <w:rFonts w:asciiTheme="majorBidi" w:hAnsiTheme="majorBidi" w:cstheme="majorBidi"/>
          <w:sz w:val="25"/>
          <w:szCs w:val="25"/>
        </w:rPr>
        <w:t>composites</w:t>
      </w:r>
      <w:r w:rsidRPr="003B6D40">
        <w:rPr>
          <w:rFonts w:asciiTheme="majorBidi" w:hAnsiTheme="majorBidi" w:cstheme="majorBidi"/>
          <w:sz w:val="25"/>
          <w:szCs w:val="25"/>
        </w:rPr>
        <w:t xml:space="preserve">. </w:t>
      </w:r>
      <w:r w:rsidR="00C254C7">
        <w:rPr>
          <w:rFonts w:asciiTheme="majorBidi" w:hAnsiTheme="majorBidi" w:cstheme="majorBidi"/>
          <w:sz w:val="25"/>
          <w:szCs w:val="25"/>
        </w:rPr>
        <w:t>Good electrical/thermal conductivities and improved mechanical properties along with comparable s</w:t>
      </w:r>
      <w:r w:rsidR="00361E5B">
        <w:rPr>
          <w:rFonts w:asciiTheme="majorBidi" w:hAnsiTheme="majorBidi" w:cstheme="majorBidi"/>
          <w:sz w:val="25"/>
          <w:szCs w:val="25"/>
        </w:rPr>
        <w:t>hore-A hardness value</w:t>
      </w:r>
      <w:r w:rsidR="00C254C7">
        <w:rPr>
          <w:rFonts w:asciiTheme="majorBidi" w:hAnsiTheme="majorBidi" w:cstheme="majorBidi"/>
          <w:sz w:val="25"/>
          <w:szCs w:val="25"/>
        </w:rPr>
        <w:t>s of EOC composites</w:t>
      </w:r>
      <w:r w:rsidR="00361E5B">
        <w:rPr>
          <w:rFonts w:asciiTheme="majorBidi" w:hAnsiTheme="majorBidi" w:cstheme="majorBidi"/>
          <w:sz w:val="25"/>
          <w:szCs w:val="25"/>
        </w:rPr>
        <w:t xml:space="preserve"> with </w:t>
      </w:r>
      <w:r w:rsidRPr="003B6D40">
        <w:rPr>
          <w:rFonts w:asciiTheme="majorBidi" w:hAnsiTheme="majorBidi" w:cstheme="majorBidi"/>
          <w:sz w:val="25"/>
          <w:szCs w:val="25"/>
        </w:rPr>
        <w:t>excellent residual strain (</w:t>
      </w:r>
      <w:r w:rsidRPr="00361E5B">
        <w:rPr>
          <w:rFonts w:ascii="Symbol" w:hAnsi="Symbol" w:cstheme="majorBidi"/>
          <w:sz w:val="25"/>
          <w:szCs w:val="25"/>
        </w:rPr>
        <w:t></w:t>
      </w:r>
      <w:r w:rsidRPr="003B6D40">
        <w:rPr>
          <w:rFonts w:asciiTheme="majorBidi" w:hAnsiTheme="majorBidi" w:cstheme="majorBidi"/>
          <w:sz w:val="25"/>
          <w:szCs w:val="25"/>
          <w:vertAlign w:val="subscript"/>
        </w:rPr>
        <w:t>r</w:t>
      </w:r>
      <w:r w:rsidRPr="003B6D40">
        <w:rPr>
          <w:rFonts w:asciiTheme="majorBidi" w:hAnsiTheme="majorBidi" w:cstheme="majorBidi"/>
          <w:sz w:val="25"/>
          <w:szCs w:val="25"/>
        </w:rPr>
        <w:t>)</w:t>
      </w:r>
      <w:r w:rsidR="00C254C7">
        <w:rPr>
          <w:rFonts w:asciiTheme="majorBidi" w:hAnsiTheme="majorBidi" w:cstheme="majorBidi"/>
          <w:sz w:val="25"/>
          <w:szCs w:val="25"/>
        </w:rPr>
        <w:t xml:space="preserve"> of pure EOC</w:t>
      </w:r>
      <w:r w:rsidRPr="003B6D40">
        <w:rPr>
          <w:rFonts w:asciiTheme="majorBidi" w:hAnsiTheme="majorBidi" w:cstheme="majorBidi"/>
          <w:sz w:val="25"/>
          <w:szCs w:val="25"/>
        </w:rPr>
        <w:t xml:space="preserve"> which is a direct measure of elasticity of a material, </w:t>
      </w:r>
      <w:r w:rsidR="00361E5B" w:rsidRPr="003B6D40">
        <w:rPr>
          <w:rFonts w:asciiTheme="majorBidi" w:hAnsiTheme="majorBidi" w:cstheme="majorBidi"/>
          <w:sz w:val="25"/>
          <w:szCs w:val="25"/>
        </w:rPr>
        <w:t>shows the potential of EOC to find its application as strain sensor</w:t>
      </w:r>
      <w:r w:rsidRPr="003B6D40">
        <w:rPr>
          <w:rFonts w:asciiTheme="majorBidi" w:hAnsiTheme="majorBidi" w:cstheme="majorBidi"/>
          <w:sz w:val="25"/>
          <w:szCs w:val="25"/>
        </w:rPr>
        <w:t xml:space="preserve">. </w:t>
      </w:r>
    </w:p>
    <w:p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Default="00FC37DB" w:rsidP="003B6D40">
      <w:pPr>
        <w:spacing w:after="0"/>
        <w:jc w:val="both"/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r w:rsidR="003B6D40">
        <w:rPr>
          <w:rFonts w:ascii="Times New Roman" w:eastAsia="Times New Roman" w:hAnsi="Times New Roman" w:cs="Times New Roman"/>
          <w:sz w:val="25"/>
          <w:szCs w:val="25"/>
          <w:lang w:eastAsia="en-IN"/>
        </w:rPr>
        <w:t>Rajesh Theravalappil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</w:t>
      </w:r>
      <w:r w:rsidR="003B6D40">
        <w:rPr>
          <w:rFonts w:ascii="Times New Roman" w:eastAsia="Times New Roman" w:hAnsi="Times New Roman" w:cs="Times New Roman"/>
          <w:sz w:val="25"/>
          <w:szCs w:val="25"/>
          <w:lang w:eastAsia="en-IN"/>
        </w:rPr>
        <w:t>Research Scientist in the Center for Refining and Petrochemicals of the Research Institute, King Fahd University Petroleum and Minerals, Saudi Arabia.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3B6D4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He has joined this Center after obtaining his Ph. D. degree in Chemistry and </w:t>
      </w:r>
      <w:r w:rsidR="003B6D40">
        <w:rPr>
          <w:rFonts w:ascii="Times New Roman" w:eastAsia="Times New Roman" w:hAnsi="Times New Roman" w:cs="Times New Roman"/>
          <w:sz w:val="25"/>
          <w:szCs w:val="25"/>
          <w:lang w:eastAsia="en-IN"/>
        </w:rPr>
        <w:lastRenderedPageBreak/>
        <w:t>Materials Technology from Tomas Bata University in Zlin, Czech Republic in 2012. He has 15 years of research and industrial experience in the field of polymer science.</w:t>
      </w:r>
      <w:r>
        <w:br/>
      </w:r>
      <w:r w:rsid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br/>
      </w:r>
    </w:p>
    <w:p w:rsidR="006829C9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3B6D40" w:rsidRPr="00171EBD" w:rsidRDefault="003B6D40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Polymer synthesis and characterization, petrochemicals, polymer blends and composites, material development.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390A87" w:rsidRDefault="00390A87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390A87" w:rsidRPr="00390A87" w:rsidRDefault="00390A87" w:rsidP="006829C9">
      <w:pPr>
        <w:spacing w:after="0" w:line="240" w:lineRule="auto"/>
        <w:jc w:val="both"/>
        <w:rPr>
          <w:rFonts w:asciiTheme="majorBidi" w:eastAsia="Times New Roman" w:hAnsiTheme="majorBidi" w:cstheme="majorBidi"/>
          <w:sz w:val="25"/>
          <w:szCs w:val="25"/>
          <w:lang w:eastAsia="en-IN"/>
        </w:rPr>
      </w:pPr>
      <w:r w:rsidRPr="00390A87"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Prof. </w:t>
      </w:r>
      <w:r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Ing. </w:t>
      </w:r>
      <w:r w:rsidRPr="00390A87">
        <w:rPr>
          <w:rFonts w:asciiTheme="majorBidi" w:eastAsia="Times New Roman" w:hAnsiTheme="majorBidi" w:cstheme="majorBidi"/>
          <w:sz w:val="25"/>
          <w:szCs w:val="25"/>
          <w:lang w:eastAsia="en-IN"/>
        </w:rPr>
        <w:t>Petr Svoboda</w:t>
      </w:r>
      <w:r>
        <w:rPr>
          <w:rFonts w:asciiTheme="majorBidi" w:eastAsia="Times New Roman" w:hAnsiTheme="majorBidi" w:cstheme="majorBidi"/>
          <w:sz w:val="25"/>
          <w:szCs w:val="25"/>
          <w:lang w:eastAsia="en-IN"/>
        </w:rPr>
        <w:t>, Faculty of Technology, Tomas Bata University in Zlin, Czech Republic. Email: svoboda@ft.utb.cz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390A87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390A8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390A87">
        <w:rPr>
          <w:rFonts w:asciiTheme="majorBidi" w:eastAsia="Times New Roman" w:hAnsiTheme="majorBidi" w:cstheme="majorBidi"/>
          <w:sz w:val="25"/>
          <w:szCs w:val="25"/>
          <w:lang w:eastAsia="en-IN"/>
        </w:rPr>
        <w:t>rajesh@kfupm.edu.sa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390A87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390A8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390A87">
        <w:rPr>
          <w:rFonts w:asciiTheme="majorBidi" w:eastAsia="Times New Roman" w:hAnsiTheme="majorBidi" w:cstheme="majorBidi"/>
          <w:sz w:val="25"/>
          <w:szCs w:val="25"/>
          <w:lang w:eastAsia="en-IN"/>
        </w:rPr>
        <w:t>+966-552045930 (mobile), +966-13 860 8048 (office).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DD7" w:rsidRDefault="00ED0DD7" w:rsidP="004A0988">
      <w:pPr>
        <w:spacing w:after="0" w:line="240" w:lineRule="auto"/>
      </w:pPr>
      <w:r>
        <w:separator/>
      </w:r>
    </w:p>
  </w:endnote>
  <w:endnote w:type="continuationSeparator" w:id="0">
    <w:p w:rsidR="00ED0DD7" w:rsidRDefault="00ED0DD7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DD7" w:rsidRDefault="00ED0DD7" w:rsidP="004A0988">
      <w:pPr>
        <w:spacing w:after="0" w:line="240" w:lineRule="auto"/>
      </w:pPr>
      <w:r>
        <w:separator/>
      </w:r>
    </w:p>
  </w:footnote>
  <w:footnote w:type="continuationSeparator" w:id="0">
    <w:p w:rsidR="00ED0DD7" w:rsidRDefault="00ED0DD7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041C9"/>
    <w:rsid w:val="000A5201"/>
    <w:rsid w:val="00171EBD"/>
    <w:rsid w:val="00361E5B"/>
    <w:rsid w:val="00390A87"/>
    <w:rsid w:val="003A6644"/>
    <w:rsid w:val="003B6D40"/>
    <w:rsid w:val="004A0988"/>
    <w:rsid w:val="004D4A62"/>
    <w:rsid w:val="005116CB"/>
    <w:rsid w:val="00603EA9"/>
    <w:rsid w:val="006829C9"/>
    <w:rsid w:val="006D6DD7"/>
    <w:rsid w:val="00935FD5"/>
    <w:rsid w:val="009A5A78"/>
    <w:rsid w:val="00A3017E"/>
    <w:rsid w:val="00C254C7"/>
    <w:rsid w:val="00C643B3"/>
    <w:rsid w:val="00ED0DD7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Rajesh Theravalappil</cp:lastModifiedBy>
  <cp:revision>5</cp:revision>
  <dcterms:created xsi:type="dcterms:W3CDTF">2018-01-23T10:39:00Z</dcterms:created>
  <dcterms:modified xsi:type="dcterms:W3CDTF">2018-01-24T13:10:00Z</dcterms:modified>
</cp:coreProperties>
</file>