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934DBC">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5A05D1">
        <w:rPr>
          <w:noProof/>
        </w:rPr>
        <w:drawing>
          <wp:inline distT="0" distB="0" distL="0" distR="0">
            <wp:extent cx="1261872" cy="1344168"/>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61872" cy="1344168"/>
                    </a:xfrm>
                    <a:prstGeom prst="rect">
                      <a:avLst/>
                    </a:prstGeom>
                    <a:noFill/>
                    <a:ln>
                      <a:noFill/>
                    </a:ln>
                  </pic:spPr>
                </pic:pic>
              </a:graphicData>
            </a:graphic>
          </wp:inline>
        </w:drawing>
      </w:r>
    </w:p>
    <w:p w:rsidR="004D4A62" w:rsidRDefault="004D4A62" w:rsidP="00934DBC">
      <w:pPr>
        <w:spacing w:after="0" w:line="240" w:lineRule="auto"/>
        <w:jc w:val="both"/>
        <w:rPr>
          <w:rFonts w:ascii="Times New Roman" w:eastAsia="Times New Roman" w:hAnsi="Times New Roman" w:cs="Times New Roman"/>
          <w:i/>
          <w:sz w:val="25"/>
          <w:szCs w:val="25"/>
          <w:lang w:eastAsia="en-IN"/>
        </w:rPr>
      </w:pPr>
    </w:p>
    <w:p w:rsidR="00FC37DB" w:rsidRPr="004A0988" w:rsidRDefault="00FC37DB" w:rsidP="00934DBC">
      <w:pPr>
        <w:pStyle w:val="Heading2"/>
        <w:spacing w:line="240" w:lineRule="auto"/>
        <w:rPr>
          <w:rFonts w:eastAsia="Times New Roman"/>
          <w:b/>
          <w:lang w:eastAsia="en-IN"/>
        </w:rPr>
      </w:pPr>
      <w:r w:rsidRPr="004A0988">
        <w:rPr>
          <w:rFonts w:eastAsia="Times New Roman"/>
          <w:b/>
          <w:lang w:eastAsia="en-IN"/>
        </w:rPr>
        <w:t>Title of the Abstract:</w:t>
      </w:r>
      <w:r w:rsidR="00591667">
        <w:rPr>
          <w:rFonts w:eastAsia="Times New Roman"/>
          <w:b/>
          <w:lang w:eastAsia="en-IN"/>
        </w:rPr>
        <w:t xml:space="preserve"> </w:t>
      </w:r>
      <w:r w:rsidR="0082457B">
        <w:rPr>
          <w:rFonts w:eastAsia="Times New Roman"/>
          <w:b/>
          <w:lang w:eastAsia="en-IN"/>
        </w:rPr>
        <w:t>I</w:t>
      </w:r>
      <w:r w:rsidR="0082457B" w:rsidRPr="0082457B">
        <w:rPr>
          <w:rFonts w:eastAsia="Times New Roman"/>
          <w:b/>
          <w:lang w:eastAsia="en-IN"/>
        </w:rPr>
        <w:t>nfluence of ethylene/propylene copolymers on the compatibilization of polypropylene contaminants in mixed stream post-consumer HDPE</w:t>
      </w:r>
    </w:p>
    <w:p w:rsidR="00FC37DB" w:rsidRPr="004A0988" w:rsidRDefault="00FC37DB" w:rsidP="00934DBC">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r w:rsidR="00591667">
        <w:rPr>
          <w:rFonts w:ascii="Times New Roman" w:eastAsia="Times New Roman" w:hAnsi="Times New Roman" w:cs="Times New Roman"/>
          <w:i/>
          <w:color w:val="0070C0"/>
          <w:sz w:val="25"/>
          <w:szCs w:val="25"/>
          <w:lang w:eastAsia="en-IN"/>
        </w:rPr>
        <w:t xml:space="preserve"> Greg Curtzwiler</w:t>
      </w:r>
    </w:p>
    <w:p w:rsidR="00FC37DB" w:rsidRPr="004A0988" w:rsidRDefault="00FC37DB" w:rsidP="00934DBC">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591667">
        <w:rPr>
          <w:rFonts w:ascii="Times New Roman" w:eastAsia="Times New Roman" w:hAnsi="Times New Roman" w:cs="Times New Roman"/>
          <w:i/>
          <w:color w:val="0070C0"/>
          <w:sz w:val="25"/>
          <w:szCs w:val="25"/>
          <w:lang w:eastAsia="en-IN"/>
        </w:rPr>
        <w:t xml:space="preserve"> </w:t>
      </w:r>
    </w:p>
    <w:p w:rsidR="00FC37DB" w:rsidRPr="004A0988" w:rsidRDefault="00FC37DB" w:rsidP="00934DBC">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591667">
        <w:rPr>
          <w:rFonts w:ascii="Times New Roman" w:eastAsia="Times New Roman" w:hAnsi="Times New Roman" w:cs="Times New Roman"/>
          <w:i/>
          <w:color w:val="0070C0"/>
          <w:sz w:val="25"/>
          <w:szCs w:val="25"/>
          <w:lang w:eastAsia="en-IN"/>
        </w:rPr>
        <w:t xml:space="preserve"> Iowa State University</w:t>
      </w:r>
    </w:p>
    <w:p w:rsidR="00FC37DB" w:rsidRPr="004A0988" w:rsidRDefault="00FC37DB" w:rsidP="00934DBC">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591667">
        <w:rPr>
          <w:rFonts w:ascii="Times New Roman" w:eastAsia="Times New Roman" w:hAnsi="Times New Roman" w:cs="Times New Roman"/>
          <w:i/>
          <w:color w:val="0070C0"/>
          <w:sz w:val="25"/>
          <w:szCs w:val="25"/>
          <w:lang w:eastAsia="en-IN"/>
        </w:rPr>
        <w:t xml:space="preserve"> United States</w:t>
      </w:r>
      <w:r w:rsidR="006829C9" w:rsidRPr="004A0988">
        <w:rPr>
          <w:rFonts w:ascii="Times New Roman" w:eastAsia="Times New Roman" w:hAnsi="Times New Roman" w:cs="Times New Roman"/>
          <w:i/>
          <w:color w:val="0070C0"/>
          <w:sz w:val="25"/>
          <w:szCs w:val="25"/>
          <w:lang w:eastAsia="en-IN"/>
        </w:rPr>
        <w:t xml:space="preserve">      </w:t>
      </w:r>
    </w:p>
    <w:p w:rsidR="00FC37DB" w:rsidRDefault="006829C9" w:rsidP="00934DBC">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934DBC" w:rsidRDefault="006829C9" w:rsidP="00934DBC">
      <w:pPr>
        <w:pStyle w:val="Heading1"/>
        <w:spacing w:line="240" w:lineRule="auto"/>
        <w:rPr>
          <w:rFonts w:eastAsia="Times New Roman"/>
          <w:u w:val="single"/>
          <w:lang w:eastAsia="en-IN"/>
        </w:rPr>
      </w:pPr>
      <w:r w:rsidRPr="00171EBD">
        <w:rPr>
          <w:rFonts w:eastAsia="Times New Roman"/>
          <w:u w:val="single"/>
          <w:lang w:eastAsia="en-IN"/>
        </w:rPr>
        <w:t>Abstract:</w:t>
      </w:r>
    </w:p>
    <w:p w:rsidR="00934DBC" w:rsidRDefault="00934DBC" w:rsidP="00934DBC">
      <w:pPr>
        <w:spacing w:line="240" w:lineRule="auto"/>
        <w:ind w:firstLine="360"/>
        <w:contextualSpacing/>
        <w:rPr>
          <w:rFonts w:ascii="Times New Roman" w:hAnsi="Times New Roman" w:cs="Times New Roman"/>
          <w:sz w:val="24"/>
          <w:szCs w:val="24"/>
        </w:rPr>
      </w:pPr>
      <w:r w:rsidRPr="00934DBC">
        <w:rPr>
          <w:rFonts w:ascii="Times New Roman" w:hAnsi="Times New Roman" w:cs="Times New Roman"/>
          <w:sz w:val="24"/>
          <w:szCs w:val="24"/>
        </w:rPr>
        <w:t xml:space="preserve">Polyethylene </w:t>
      </w:r>
      <w:r w:rsidR="00171222">
        <w:rPr>
          <w:rFonts w:ascii="Times New Roman" w:hAnsi="Times New Roman" w:cs="Times New Roman"/>
          <w:sz w:val="24"/>
          <w:szCs w:val="24"/>
        </w:rPr>
        <w:t xml:space="preserve">is utilized </w:t>
      </w:r>
      <w:r w:rsidR="00BC3C7B">
        <w:rPr>
          <w:rFonts w:ascii="Times New Roman" w:hAnsi="Times New Roman" w:cs="Times New Roman"/>
          <w:sz w:val="24"/>
          <w:szCs w:val="24"/>
        </w:rPr>
        <w:t>throughout</w:t>
      </w:r>
      <w:r w:rsidRPr="00934DBC">
        <w:rPr>
          <w:rFonts w:ascii="Times New Roman" w:hAnsi="Times New Roman" w:cs="Times New Roman"/>
          <w:sz w:val="24"/>
          <w:szCs w:val="24"/>
        </w:rPr>
        <w:t xml:space="preserve"> industrial, agricultural, and packaging applications</w:t>
      </w:r>
      <w:r w:rsidR="00BC3C7B">
        <w:rPr>
          <w:rFonts w:ascii="Times New Roman" w:hAnsi="Times New Roman" w:cs="Times New Roman"/>
          <w:sz w:val="24"/>
          <w:szCs w:val="24"/>
        </w:rPr>
        <w:t>.</w:t>
      </w:r>
      <w:r w:rsidRPr="00934DBC">
        <w:rPr>
          <w:rFonts w:ascii="Times New Roman" w:hAnsi="Times New Roman" w:cs="Times New Roman"/>
          <w:sz w:val="24"/>
          <w:szCs w:val="24"/>
        </w:rPr>
        <w:t xml:space="preserve"> </w:t>
      </w:r>
      <w:r w:rsidR="00BC3C7B">
        <w:rPr>
          <w:rFonts w:ascii="Times New Roman" w:hAnsi="Times New Roman" w:cs="Times New Roman"/>
          <w:sz w:val="24"/>
          <w:szCs w:val="24"/>
        </w:rPr>
        <w:t>The current market is estimated to be</w:t>
      </w:r>
      <w:r w:rsidRPr="00934DBC">
        <w:rPr>
          <w:rFonts w:ascii="Times New Roman" w:hAnsi="Times New Roman" w:cs="Times New Roman"/>
          <w:sz w:val="24"/>
          <w:szCs w:val="24"/>
        </w:rPr>
        <w:t xml:space="preserve"> $164 billion </w:t>
      </w:r>
      <w:r w:rsidR="00BC3C7B">
        <w:rPr>
          <w:rFonts w:ascii="Times New Roman" w:hAnsi="Times New Roman" w:cs="Times New Roman"/>
          <w:sz w:val="24"/>
          <w:szCs w:val="24"/>
        </w:rPr>
        <w:t>with</w:t>
      </w:r>
      <w:r w:rsidRPr="00934DBC">
        <w:rPr>
          <w:rFonts w:ascii="Times New Roman" w:hAnsi="Times New Roman" w:cs="Times New Roman"/>
          <w:sz w:val="24"/>
          <w:szCs w:val="24"/>
        </w:rPr>
        <w:t xml:space="preserve"> a projected global demand growth of 4% through 2018. </w:t>
      </w:r>
      <w:r w:rsidR="008B3936">
        <w:rPr>
          <w:rFonts w:ascii="Times New Roman" w:hAnsi="Times New Roman" w:cs="Times New Roman"/>
          <w:sz w:val="24"/>
          <w:szCs w:val="24"/>
        </w:rPr>
        <w:t xml:space="preserve">There are </w:t>
      </w:r>
      <w:r w:rsidR="00955AEB">
        <w:rPr>
          <w:rFonts w:ascii="Times New Roman" w:hAnsi="Times New Roman" w:cs="Times New Roman"/>
          <w:sz w:val="24"/>
          <w:szCs w:val="24"/>
        </w:rPr>
        <w:t>several</w:t>
      </w:r>
      <w:r w:rsidR="008B3936">
        <w:rPr>
          <w:rFonts w:ascii="Times New Roman" w:hAnsi="Times New Roman" w:cs="Times New Roman"/>
          <w:sz w:val="24"/>
          <w:szCs w:val="24"/>
        </w:rPr>
        <w:t xml:space="preserve"> </w:t>
      </w:r>
      <w:r w:rsidR="000E608D">
        <w:rPr>
          <w:rFonts w:ascii="Times New Roman" w:hAnsi="Times New Roman" w:cs="Times New Roman"/>
          <w:sz w:val="24"/>
          <w:szCs w:val="24"/>
        </w:rPr>
        <w:t xml:space="preserve">state level </w:t>
      </w:r>
      <w:r w:rsidR="008B3936">
        <w:rPr>
          <w:rFonts w:ascii="Times New Roman" w:hAnsi="Times New Roman" w:cs="Times New Roman"/>
          <w:sz w:val="24"/>
          <w:szCs w:val="24"/>
        </w:rPr>
        <w:t xml:space="preserve">regulations throughout the United States that mandate a </w:t>
      </w:r>
      <w:r w:rsidRPr="00934DBC">
        <w:rPr>
          <w:rFonts w:ascii="Times New Roman" w:hAnsi="Times New Roman" w:cs="Times New Roman"/>
          <w:sz w:val="24"/>
          <w:szCs w:val="24"/>
        </w:rPr>
        <w:t xml:space="preserve">minimum </w:t>
      </w:r>
      <w:r w:rsidR="008B3936">
        <w:rPr>
          <w:rFonts w:ascii="Times New Roman" w:hAnsi="Times New Roman" w:cs="Times New Roman"/>
          <w:sz w:val="24"/>
          <w:szCs w:val="24"/>
        </w:rPr>
        <w:t xml:space="preserve">amount of post-consumer recycled polymer </w:t>
      </w:r>
      <w:r w:rsidRPr="00934DBC">
        <w:rPr>
          <w:rFonts w:ascii="Times New Roman" w:hAnsi="Times New Roman" w:cs="Times New Roman"/>
          <w:sz w:val="24"/>
          <w:szCs w:val="24"/>
        </w:rPr>
        <w:t xml:space="preserve">content </w:t>
      </w:r>
      <w:r w:rsidR="00955AEB" w:rsidRPr="00934DBC">
        <w:rPr>
          <w:rFonts w:ascii="Times New Roman" w:hAnsi="Times New Roman" w:cs="Times New Roman"/>
          <w:sz w:val="24"/>
          <w:szCs w:val="24"/>
        </w:rPr>
        <w:t xml:space="preserve">in commodity goods </w:t>
      </w:r>
      <w:r w:rsidRPr="00934DBC">
        <w:rPr>
          <w:rFonts w:ascii="Times New Roman" w:hAnsi="Times New Roman" w:cs="Times New Roman"/>
          <w:sz w:val="24"/>
          <w:szCs w:val="24"/>
        </w:rPr>
        <w:t>to increase the long-term sustainability effort</w:t>
      </w:r>
      <w:r w:rsidR="008B3936">
        <w:rPr>
          <w:rFonts w:ascii="Times New Roman" w:hAnsi="Times New Roman" w:cs="Times New Roman"/>
          <w:sz w:val="24"/>
          <w:szCs w:val="24"/>
        </w:rPr>
        <w:t xml:space="preserve"> associated with</w:t>
      </w:r>
      <w:r w:rsidRPr="00934DBC">
        <w:rPr>
          <w:rFonts w:ascii="Times New Roman" w:hAnsi="Times New Roman" w:cs="Times New Roman"/>
          <w:sz w:val="24"/>
          <w:szCs w:val="24"/>
        </w:rPr>
        <w:t xml:space="preserve"> polymer use (e.g., SB 270 in California)</w:t>
      </w:r>
      <w:r w:rsidR="00FE7739">
        <w:rPr>
          <w:rFonts w:ascii="Times New Roman" w:hAnsi="Times New Roman" w:cs="Times New Roman"/>
          <w:sz w:val="24"/>
          <w:szCs w:val="24"/>
        </w:rPr>
        <w:t xml:space="preserve">. As </w:t>
      </w:r>
      <w:r w:rsidR="000E608D">
        <w:rPr>
          <w:rFonts w:ascii="Times New Roman" w:hAnsi="Times New Roman" w:cs="Times New Roman"/>
          <w:sz w:val="24"/>
          <w:szCs w:val="24"/>
        </w:rPr>
        <w:t>a result</w:t>
      </w:r>
      <w:r w:rsidRPr="00934DBC">
        <w:rPr>
          <w:rFonts w:ascii="Times New Roman" w:hAnsi="Times New Roman" w:cs="Times New Roman"/>
          <w:sz w:val="24"/>
          <w:szCs w:val="24"/>
        </w:rPr>
        <w:t xml:space="preserve">, </w:t>
      </w:r>
      <w:r w:rsidR="00FE7739">
        <w:rPr>
          <w:rFonts w:ascii="Times New Roman" w:hAnsi="Times New Roman" w:cs="Times New Roman"/>
          <w:sz w:val="24"/>
          <w:szCs w:val="24"/>
        </w:rPr>
        <w:t>the demand for post-consumer feedstocks is expected to increase which will necessitate a more widespread adoption of</w:t>
      </w:r>
      <w:r w:rsidR="008B2BCD">
        <w:rPr>
          <w:rFonts w:ascii="Times New Roman" w:hAnsi="Times New Roman" w:cs="Times New Roman"/>
          <w:sz w:val="24"/>
          <w:szCs w:val="24"/>
        </w:rPr>
        <w:t xml:space="preserve"> mixed-stream </w:t>
      </w:r>
      <w:r w:rsidR="00FE7739">
        <w:rPr>
          <w:rFonts w:ascii="Times New Roman" w:hAnsi="Times New Roman" w:cs="Times New Roman"/>
          <w:sz w:val="24"/>
          <w:szCs w:val="24"/>
        </w:rPr>
        <w:t>sources</w:t>
      </w:r>
      <w:r w:rsidR="008B2BCD">
        <w:rPr>
          <w:rFonts w:ascii="Times New Roman" w:hAnsi="Times New Roman" w:cs="Times New Roman"/>
          <w:sz w:val="24"/>
          <w:szCs w:val="24"/>
        </w:rPr>
        <w:t xml:space="preserve"> to ensure availability of resin supply.</w:t>
      </w:r>
      <w:r w:rsidR="00116A12">
        <w:rPr>
          <w:rFonts w:ascii="Times New Roman" w:hAnsi="Times New Roman" w:cs="Times New Roman"/>
          <w:sz w:val="24"/>
          <w:szCs w:val="24"/>
        </w:rPr>
        <w:t xml:space="preserve"> However, the current sorting practices and technology cannot sufficiently differentiate and isolate polyethylene from polypropylene. As </w:t>
      </w:r>
      <w:r w:rsidR="009B35DD">
        <w:rPr>
          <w:rFonts w:ascii="Times New Roman" w:hAnsi="Times New Roman" w:cs="Times New Roman"/>
          <w:sz w:val="24"/>
          <w:szCs w:val="24"/>
        </w:rPr>
        <w:t>a</w:t>
      </w:r>
      <w:r w:rsidR="00116A12">
        <w:rPr>
          <w:rFonts w:ascii="Times New Roman" w:hAnsi="Times New Roman" w:cs="Times New Roman"/>
          <w:sz w:val="24"/>
          <w:szCs w:val="24"/>
        </w:rPr>
        <w:t xml:space="preserve"> result, mixed stream post-consumer polyethylene feedstocks are commonly contaminated with polypropylene which creates </w:t>
      </w:r>
      <w:r w:rsidR="009B35DD">
        <w:rPr>
          <w:rFonts w:ascii="Times New Roman" w:hAnsi="Times New Roman" w:cs="Times New Roman"/>
          <w:sz w:val="24"/>
          <w:szCs w:val="24"/>
        </w:rPr>
        <w:t>immiscible polymer blend</w:t>
      </w:r>
      <w:r w:rsidR="00B64DBB">
        <w:rPr>
          <w:rFonts w:ascii="Times New Roman" w:hAnsi="Times New Roman" w:cs="Times New Roman"/>
          <w:sz w:val="24"/>
          <w:szCs w:val="24"/>
        </w:rPr>
        <w:t>s</w:t>
      </w:r>
      <w:r w:rsidR="009B35DD">
        <w:rPr>
          <w:rFonts w:ascii="Times New Roman" w:hAnsi="Times New Roman" w:cs="Times New Roman"/>
          <w:sz w:val="24"/>
          <w:szCs w:val="24"/>
        </w:rPr>
        <w:t xml:space="preserve"> </w:t>
      </w:r>
      <w:r w:rsidR="00116A12">
        <w:rPr>
          <w:rFonts w:ascii="Times New Roman" w:hAnsi="Times New Roman" w:cs="Times New Roman"/>
          <w:sz w:val="24"/>
          <w:szCs w:val="24"/>
        </w:rPr>
        <w:t>when melt mixed.</w:t>
      </w:r>
      <w:r w:rsidR="00A2302C">
        <w:rPr>
          <w:rFonts w:ascii="Times New Roman" w:hAnsi="Times New Roman" w:cs="Times New Roman"/>
          <w:sz w:val="24"/>
          <w:szCs w:val="24"/>
        </w:rPr>
        <w:t xml:space="preserve"> </w:t>
      </w:r>
      <w:r w:rsidR="00DF28AE">
        <w:rPr>
          <w:rFonts w:ascii="Times New Roman" w:hAnsi="Times New Roman" w:cs="Times New Roman"/>
          <w:sz w:val="24"/>
          <w:szCs w:val="24"/>
        </w:rPr>
        <w:t>Further, the presence of multiple phase-separated domains may detrimentally influence the polyethylene properties for certain applications</w:t>
      </w:r>
      <w:r w:rsidR="00B64DBB">
        <w:rPr>
          <w:rFonts w:ascii="Times New Roman" w:hAnsi="Times New Roman" w:cs="Times New Roman"/>
          <w:sz w:val="24"/>
          <w:szCs w:val="24"/>
        </w:rPr>
        <w:t xml:space="preserve"> which we hypothesize can be mitigated via compatibilization of the two phases</w:t>
      </w:r>
      <w:r w:rsidR="00DF28AE">
        <w:rPr>
          <w:rFonts w:ascii="Times New Roman" w:hAnsi="Times New Roman" w:cs="Times New Roman"/>
          <w:sz w:val="24"/>
          <w:szCs w:val="24"/>
        </w:rPr>
        <w:t>. This work investigates the influence of ethylene/</w:t>
      </w:r>
      <w:r w:rsidR="003B3AA6">
        <w:rPr>
          <w:rFonts w:ascii="Times New Roman" w:hAnsi="Times New Roman" w:cs="Times New Roman"/>
          <w:sz w:val="24"/>
          <w:szCs w:val="24"/>
        </w:rPr>
        <w:t xml:space="preserve"> </w:t>
      </w:r>
      <w:r w:rsidR="00DF28AE">
        <w:rPr>
          <w:rFonts w:ascii="Times New Roman" w:hAnsi="Times New Roman" w:cs="Times New Roman"/>
          <w:sz w:val="24"/>
          <w:szCs w:val="24"/>
        </w:rPr>
        <w:t xml:space="preserve">propylene copolymers on </w:t>
      </w:r>
      <w:r w:rsidR="00866D5F">
        <w:rPr>
          <w:rFonts w:ascii="Times New Roman" w:hAnsi="Times New Roman" w:cs="Times New Roman"/>
          <w:sz w:val="24"/>
          <w:szCs w:val="24"/>
        </w:rPr>
        <w:t xml:space="preserve">the physical properties of </w:t>
      </w:r>
      <w:r w:rsidR="00DF28AE">
        <w:rPr>
          <w:rFonts w:ascii="Times New Roman" w:hAnsi="Times New Roman" w:cs="Times New Roman"/>
          <w:sz w:val="24"/>
          <w:szCs w:val="24"/>
        </w:rPr>
        <w:t>mixed-stream injection molding and blow molding grade high-density polyethylene post-consumer feedstocks</w:t>
      </w:r>
      <w:r w:rsidR="00866D5F">
        <w:rPr>
          <w:rFonts w:ascii="Times New Roman" w:hAnsi="Times New Roman" w:cs="Times New Roman"/>
          <w:sz w:val="24"/>
          <w:szCs w:val="24"/>
        </w:rPr>
        <w:t xml:space="preserve"> contaminated with polypropylene. The post-consumer feedstock was </w:t>
      </w:r>
      <w:r w:rsidR="00811057">
        <w:rPr>
          <w:rFonts w:ascii="Times New Roman" w:hAnsi="Times New Roman" w:cs="Times New Roman"/>
          <w:sz w:val="24"/>
          <w:szCs w:val="24"/>
        </w:rPr>
        <w:t>extrusion melt</w:t>
      </w:r>
      <w:r w:rsidR="00866D5F">
        <w:rPr>
          <w:rFonts w:ascii="Times New Roman" w:hAnsi="Times New Roman" w:cs="Times New Roman"/>
          <w:sz w:val="24"/>
          <w:szCs w:val="24"/>
        </w:rPr>
        <w:t xml:space="preserve"> blended with the ethylene/propylene copolymer </w:t>
      </w:r>
      <w:r w:rsidR="00053BF6">
        <w:rPr>
          <w:rFonts w:ascii="Times New Roman" w:hAnsi="Times New Roman" w:cs="Times New Roman"/>
          <w:sz w:val="24"/>
          <w:szCs w:val="24"/>
        </w:rPr>
        <w:t xml:space="preserve">and the resulting properties investigated via differential scanning calorimetry, dynamic mechanical analysis, thermogravimetric analysis, and dart impact testing. Scanning electron microscopy was </w:t>
      </w:r>
      <w:r w:rsidR="000E608D">
        <w:rPr>
          <w:rFonts w:ascii="Times New Roman" w:hAnsi="Times New Roman" w:cs="Times New Roman"/>
          <w:sz w:val="24"/>
          <w:szCs w:val="24"/>
        </w:rPr>
        <w:t xml:space="preserve">also </w:t>
      </w:r>
      <w:r w:rsidR="00053BF6">
        <w:rPr>
          <w:rFonts w:ascii="Times New Roman" w:hAnsi="Times New Roman" w:cs="Times New Roman"/>
          <w:sz w:val="24"/>
          <w:szCs w:val="24"/>
        </w:rPr>
        <w:t>utilized to investigate changes in the size of the immiscible domains.</w:t>
      </w:r>
      <w:r w:rsidR="00AC4C82">
        <w:rPr>
          <w:rFonts w:ascii="Times New Roman" w:hAnsi="Times New Roman" w:cs="Times New Roman"/>
          <w:sz w:val="24"/>
          <w:szCs w:val="24"/>
        </w:rPr>
        <w:t xml:space="preserve"> This work provides critical in</w:t>
      </w:r>
      <w:r w:rsidR="00F16375">
        <w:rPr>
          <w:rFonts w:ascii="Times New Roman" w:hAnsi="Times New Roman" w:cs="Times New Roman"/>
          <w:sz w:val="24"/>
          <w:szCs w:val="24"/>
        </w:rPr>
        <w:t>sight for converters and design engineers as the widespread use of mixed-stream post-consumer feedstocks in consumer and industrial applications increases.</w:t>
      </w:r>
    </w:p>
    <w:p w:rsidR="003B3AA6" w:rsidRDefault="003B3AA6" w:rsidP="00934DBC">
      <w:pPr>
        <w:spacing w:line="240" w:lineRule="auto"/>
        <w:ind w:firstLine="360"/>
        <w:contextualSpacing/>
        <w:rPr>
          <w:rFonts w:ascii="Times New Roman" w:hAnsi="Times New Roman" w:cs="Times New Roman"/>
          <w:sz w:val="24"/>
          <w:szCs w:val="24"/>
        </w:rPr>
      </w:pPr>
    </w:p>
    <w:p w:rsidR="003B3AA6" w:rsidRDefault="003B3AA6" w:rsidP="00934DBC">
      <w:pPr>
        <w:spacing w:line="240" w:lineRule="auto"/>
        <w:ind w:firstLine="360"/>
        <w:contextualSpacing/>
        <w:rPr>
          <w:rFonts w:ascii="Times New Roman" w:hAnsi="Times New Roman" w:cs="Times New Roman"/>
          <w:sz w:val="24"/>
          <w:szCs w:val="24"/>
        </w:rPr>
      </w:pPr>
    </w:p>
    <w:p w:rsidR="003B3AA6" w:rsidRDefault="003B3AA6" w:rsidP="00934DBC">
      <w:pPr>
        <w:spacing w:line="240" w:lineRule="auto"/>
        <w:ind w:firstLine="360"/>
        <w:contextualSpacing/>
        <w:rPr>
          <w:rFonts w:ascii="Times New Roman" w:hAnsi="Times New Roman" w:cs="Times New Roman"/>
          <w:sz w:val="24"/>
          <w:szCs w:val="24"/>
        </w:rPr>
      </w:pPr>
    </w:p>
    <w:p w:rsidR="004E7EB9" w:rsidRDefault="004E7EB9" w:rsidP="00934DBC">
      <w:pPr>
        <w:spacing w:line="240" w:lineRule="auto"/>
        <w:ind w:firstLine="360"/>
        <w:contextualSpacing/>
        <w:rPr>
          <w:rFonts w:ascii="Times New Roman" w:hAnsi="Times New Roman" w:cs="Times New Roman"/>
          <w:sz w:val="24"/>
          <w:szCs w:val="24"/>
        </w:rPr>
      </w:pPr>
    </w:p>
    <w:p w:rsidR="004E7EB9" w:rsidRDefault="004E7EB9" w:rsidP="00934DBC">
      <w:pPr>
        <w:spacing w:line="240" w:lineRule="auto"/>
        <w:ind w:firstLine="360"/>
        <w:contextualSpacing/>
        <w:rPr>
          <w:rFonts w:ascii="Times New Roman" w:hAnsi="Times New Roman" w:cs="Times New Roman"/>
          <w:sz w:val="24"/>
          <w:szCs w:val="24"/>
        </w:rPr>
      </w:pPr>
    </w:p>
    <w:p w:rsidR="00FC37DB" w:rsidRPr="00171EBD" w:rsidRDefault="00FC37DB" w:rsidP="00934DBC">
      <w:pPr>
        <w:pStyle w:val="Heading1"/>
        <w:spacing w:line="240" w:lineRule="auto"/>
        <w:rPr>
          <w:rFonts w:eastAsia="Times New Roman"/>
          <w:u w:val="single"/>
          <w:lang w:eastAsia="en-IN"/>
        </w:rPr>
      </w:pPr>
      <w:r w:rsidRPr="00171EBD">
        <w:rPr>
          <w:rFonts w:eastAsia="Times New Roman"/>
          <w:u w:val="single"/>
          <w:lang w:eastAsia="en-IN"/>
        </w:rPr>
        <w:lastRenderedPageBreak/>
        <w:t>Biography:</w:t>
      </w:r>
    </w:p>
    <w:p w:rsidR="004844ED" w:rsidRPr="00934DBC" w:rsidRDefault="004844ED" w:rsidP="002C33EC">
      <w:pPr>
        <w:spacing w:after="0" w:line="240" w:lineRule="auto"/>
        <w:ind w:firstLine="360"/>
        <w:rPr>
          <w:rFonts w:ascii="Times New Roman" w:eastAsia="Times New Roman" w:hAnsi="Times New Roman" w:cs="Times New Roman"/>
          <w:sz w:val="24"/>
          <w:szCs w:val="24"/>
          <w:lang w:eastAsia="en-IN"/>
        </w:rPr>
      </w:pPr>
      <w:r w:rsidRPr="00934DBC">
        <w:rPr>
          <w:rFonts w:ascii="Times New Roman" w:eastAsia="Times New Roman" w:hAnsi="Times New Roman" w:cs="Times New Roman"/>
          <w:sz w:val="24"/>
          <w:szCs w:val="24"/>
          <w:lang w:eastAsia="en-IN"/>
        </w:rPr>
        <w:t>Dr. Greg Curtzwiler received a B.S. in Biochemistry and M.S. in Polymers and Coatings Science from Cal Poly State University, San Luis Obispo, CA. He received a Doctorate in Polymer Science and Engineering from The University of Southern Mississippi School of Polymers and High Performance Materials. Greg has 17 publications and seven patents to his credit. His research has focused on carbon nanotube-based nanocomposites and sustainable practices of polymers for food packaging applications. He is currently working on understanding the structure-property relationships between polymer structure, water hydrogen bonding, and hydroplasticization. He is currently developing in-process methods for monitoring contamination of food packaging comprised of post-consumer recycled polymers and the empirical quantification of post-consumer polymer content in converted consumer products.</w:t>
      </w:r>
    </w:p>
    <w:p w:rsidR="006829C9" w:rsidRPr="00171EBD" w:rsidRDefault="004A0988" w:rsidP="00934DBC">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imes New Roman" w:eastAsia="Times New Roman" w:hAnsi="Times New Roman" w:cs="Times New Roman"/>
          <w:color w:val="724109" w:themeColor="accent1" w:themeShade="80"/>
          <w:sz w:val="25"/>
          <w:szCs w:val="25"/>
          <w:lang w:eastAsia="en-IN"/>
        </w:rPr>
        <w:br/>
      </w:r>
      <w:r w:rsidR="006829C9" w:rsidRPr="00171EBD">
        <w:rPr>
          <w:rFonts w:asciiTheme="majorHAnsi" w:eastAsia="Times New Roman" w:hAnsiTheme="majorHAnsi" w:cstheme="majorBidi"/>
          <w:color w:val="AA610D" w:themeColor="accent1" w:themeShade="BF"/>
          <w:sz w:val="28"/>
          <w:szCs w:val="28"/>
          <w:lang w:eastAsia="en-IN"/>
        </w:rPr>
        <w:t>Research Interests:</w:t>
      </w:r>
    </w:p>
    <w:p w:rsidR="006829C9" w:rsidRPr="00171EBD" w:rsidRDefault="006829C9" w:rsidP="00934DBC">
      <w:pPr>
        <w:spacing w:after="0" w:line="240" w:lineRule="auto"/>
        <w:jc w:val="both"/>
        <w:rPr>
          <w:sz w:val="28"/>
          <w:szCs w:val="28"/>
        </w:rPr>
      </w:pPr>
    </w:p>
    <w:p w:rsidR="006829C9" w:rsidRPr="00171EBD" w:rsidRDefault="006829C9" w:rsidP="00934DBC">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6829C9" w:rsidRDefault="006829C9" w:rsidP="00934DBC">
      <w:pPr>
        <w:spacing w:after="0" w:line="240" w:lineRule="auto"/>
        <w:jc w:val="both"/>
        <w:rPr>
          <w:rFonts w:ascii="Times New Roman" w:eastAsia="Times New Roman" w:hAnsi="Times New Roman" w:cs="Times New Roman"/>
          <w:i/>
          <w:sz w:val="28"/>
          <w:szCs w:val="28"/>
          <w:u w:val="single"/>
          <w:lang w:eastAsia="en-IN"/>
        </w:rPr>
      </w:pPr>
    </w:p>
    <w:p w:rsidR="008C147D" w:rsidRPr="001B03CD" w:rsidRDefault="008C147D" w:rsidP="008C147D">
      <w:pPr>
        <w:numPr>
          <w:ilvl w:val="0"/>
          <w:numId w:val="1"/>
        </w:numPr>
        <w:spacing w:after="0" w:line="240" w:lineRule="auto"/>
        <w:contextualSpacing/>
        <w:rPr>
          <w:rFonts w:cstheme="minorHAnsi"/>
          <w:b/>
          <w:bCs/>
        </w:rPr>
      </w:pPr>
      <w:r>
        <w:rPr>
          <w:rFonts w:cs="Calibri"/>
          <w:b/>
          <w:bCs/>
        </w:rPr>
        <w:t xml:space="preserve">Curtzwiler, Greg W., </w:t>
      </w:r>
      <w:r>
        <w:rPr>
          <w:rFonts w:cs="Calibri"/>
          <w:bCs/>
        </w:rPr>
        <w:t>Williams, Eric B., Hurban, Emily.</w:t>
      </w:r>
      <w:r w:rsidRPr="00324AF9">
        <w:rPr>
          <w:rFonts w:cstheme="minorHAnsi"/>
          <w:bCs/>
        </w:rPr>
        <w:t>, Vorst, Keith L.</w:t>
      </w:r>
      <w:r w:rsidRPr="00222200">
        <w:t xml:space="preserve"> </w:t>
      </w:r>
      <w:r w:rsidRPr="00222200">
        <w:rPr>
          <w:rFonts w:cstheme="minorHAnsi"/>
          <w:bCs/>
        </w:rPr>
        <w:t>Certification markers for empirical quantification of post-consumer recycled content in extruded polyethylene film</w:t>
      </w:r>
      <w:r>
        <w:rPr>
          <w:rFonts w:cstheme="minorHAnsi"/>
          <w:bCs/>
        </w:rPr>
        <w:t xml:space="preserve">. </w:t>
      </w:r>
      <w:r>
        <w:rPr>
          <w:rFonts w:cstheme="minorHAnsi"/>
          <w:bCs/>
          <w:i/>
        </w:rPr>
        <w:t xml:space="preserve">Polymer Testing. </w:t>
      </w:r>
      <w:r>
        <w:rPr>
          <w:rFonts w:cstheme="minorHAnsi"/>
          <w:bCs/>
        </w:rPr>
        <w:t>65 (2018) 103-110.</w:t>
      </w:r>
    </w:p>
    <w:p w:rsidR="008C147D" w:rsidRPr="00A55196" w:rsidRDefault="008C147D" w:rsidP="008C147D">
      <w:pPr>
        <w:numPr>
          <w:ilvl w:val="0"/>
          <w:numId w:val="1"/>
        </w:numPr>
        <w:spacing w:after="0" w:line="240" w:lineRule="auto"/>
        <w:contextualSpacing/>
        <w:rPr>
          <w:rFonts w:cstheme="minorHAnsi"/>
          <w:b/>
          <w:bCs/>
        </w:rPr>
      </w:pPr>
      <w:r>
        <w:rPr>
          <w:rFonts w:cs="Calibri"/>
          <w:b/>
          <w:bCs/>
        </w:rPr>
        <w:t xml:space="preserve">Curtzwiler, Greg W., </w:t>
      </w:r>
      <w:r>
        <w:rPr>
          <w:rFonts w:cs="Calibri"/>
          <w:bCs/>
        </w:rPr>
        <w:t>Williams, Eric B., Maples, Austin L., Davis, Nathan W., Bahns, Ted L</w:t>
      </w:r>
      <w:r w:rsidRPr="00324AF9">
        <w:rPr>
          <w:rFonts w:cs="Calibri"/>
          <w:bCs/>
        </w:rPr>
        <w:t xml:space="preserve">., </w:t>
      </w:r>
      <w:r w:rsidRPr="00324AF9">
        <w:rPr>
          <w:rFonts w:cstheme="minorHAnsi"/>
          <w:bCs/>
        </w:rPr>
        <w:t xml:space="preserve">De Leon, J. Eliseo., Vorst, Keith L. Ultraviolet protection of recycled polyethylene terephthalate. </w:t>
      </w:r>
      <w:r w:rsidRPr="00324AF9">
        <w:rPr>
          <w:rFonts w:cstheme="minorHAnsi"/>
          <w:bCs/>
          <w:i/>
        </w:rPr>
        <w:t>J. Appl. Polym. Sci.</w:t>
      </w:r>
      <w:r w:rsidRPr="00324AF9">
        <w:rPr>
          <w:rFonts w:cstheme="minorHAnsi"/>
          <w:bCs/>
        </w:rPr>
        <w:t xml:space="preserve"> 134 (2017) 45181-</w:t>
      </w:r>
    </w:p>
    <w:p w:rsidR="00A55196" w:rsidRPr="001D1DD2" w:rsidRDefault="00A55196" w:rsidP="00A55196">
      <w:pPr>
        <w:numPr>
          <w:ilvl w:val="0"/>
          <w:numId w:val="1"/>
        </w:numPr>
        <w:spacing w:after="0" w:line="240" w:lineRule="auto"/>
        <w:contextualSpacing/>
        <w:rPr>
          <w:rFonts w:cs="Calibri"/>
          <w:b/>
          <w:bCs/>
          <w:i/>
          <w:u w:val="single"/>
        </w:rPr>
      </w:pPr>
      <w:r w:rsidRPr="001D1DD2">
        <w:rPr>
          <w:rFonts w:cs="Calibri"/>
          <w:b/>
        </w:rPr>
        <w:t>Curtzwiler, Greg.,</w:t>
      </w:r>
      <w:r w:rsidRPr="001D1DD2">
        <w:rPr>
          <w:rFonts w:cs="Calibri"/>
        </w:rPr>
        <w:t xml:space="preserve"> Vorst, Keith., Danes, Jeffery., Auras, Rafael., Singh, Jay.  Effect of recycled poly(ethylene terephthalate) content on properties of extruded poly (ethylene terephthalate) sheets.  </w:t>
      </w:r>
      <w:r w:rsidRPr="001D1DD2">
        <w:rPr>
          <w:rFonts w:cs="Calibri"/>
          <w:bCs/>
          <w:i/>
        </w:rPr>
        <w:t>J. Plas. Film. Sheet</w:t>
      </w:r>
      <w:r w:rsidRPr="001D1DD2">
        <w:rPr>
          <w:rFonts w:cs="Calibri"/>
          <w:i/>
        </w:rPr>
        <w:t>.</w:t>
      </w:r>
      <w:r w:rsidRPr="001D1DD2">
        <w:rPr>
          <w:rFonts w:cs="Calibri"/>
        </w:rPr>
        <w:t xml:space="preserve">  27 (2011) 65-86.</w:t>
      </w:r>
    </w:p>
    <w:p w:rsidR="008C0C9A" w:rsidRPr="001D1DD2" w:rsidRDefault="008C0C9A" w:rsidP="008C0C9A">
      <w:pPr>
        <w:numPr>
          <w:ilvl w:val="0"/>
          <w:numId w:val="1"/>
        </w:numPr>
        <w:spacing w:after="0" w:line="240" w:lineRule="auto"/>
        <w:contextualSpacing/>
        <w:rPr>
          <w:rFonts w:cs="Calibri"/>
          <w:b/>
          <w:bCs/>
          <w:i/>
          <w:u w:val="single"/>
        </w:rPr>
      </w:pPr>
      <w:r w:rsidRPr="001D1DD2">
        <w:rPr>
          <w:rFonts w:cs="Calibri"/>
          <w:b/>
          <w:bCs/>
        </w:rPr>
        <w:t>Curtzwiler, Greg</w:t>
      </w:r>
      <w:r w:rsidRPr="001D1DD2">
        <w:rPr>
          <w:rFonts w:cs="Calibri"/>
          <w:bCs/>
        </w:rPr>
        <w:t xml:space="preserve">., Vorst, Keith., Palmer, Shasta., and Brown, Wyatt.  Characterization of Current Environmentally-Friendly Films.  </w:t>
      </w:r>
      <w:r w:rsidRPr="001D1DD2">
        <w:rPr>
          <w:rFonts w:cs="Calibri"/>
          <w:bCs/>
          <w:i/>
        </w:rPr>
        <w:t>J. Plas. Film. Sheet.</w:t>
      </w:r>
      <w:r w:rsidRPr="001D1DD2">
        <w:rPr>
          <w:rFonts w:cs="Calibri"/>
          <w:bCs/>
        </w:rPr>
        <w:t xml:space="preserve">  24 (2008) 213-226.</w:t>
      </w:r>
    </w:p>
    <w:p w:rsidR="00F13993" w:rsidRPr="007246B1" w:rsidRDefault="00F13993" w:rsidP="00F13993">
      <w:pPr>
        <w:numPr>
          <w:ilvl w:val="0"/>
          <w:numId w:val="1"/>
        </w:numPr>
        <w:spacing w:after="0" w:line="240" w:lineRule="auto"/>
        <w:contextualSpacing/>
        <w:rPr>
          <w:rFonts w:cs="Calibri"/>
        </w:rPr>
      </w:pPr>
      <w:r w:rsidRPr="001D1DD2">
        <w:rPr>
          <w:rFonts w:cs="Calibri"/>
        </w:rPr>
        <w:t>201</w:t>
      </w:r>
      <w:r>
        <w:rPr>
          <w:rFonts w:cs="Calibri"/>
        </w:rPr>
        <w:t>7</w:t>
      </w:r>
      <w:r w:rsidRPr="00612A69">
        <w:rPr>
          <w:rFonts w:cs="Calibri"/>
        </w:rPr>
        <w:t xml:space="preserve">.  Vorst, Keith., Brown, Wyatt., Danes, Jeffery., </w:t>
      </w:r>
      <w:r w:rsidRPr="00612A69">
        <w:rPr>
          <w:rFonts w:cs="Calibri"/>
          <w:b/>
        </w:rPr>
        <w:t>Curtzwiler, Greg</w:t>
      </w:r>
      <w:r w:rsidRPr="00612A69">
        <w:rPr>
          <w:rFonts w:cs="Calibri"/>
        </w:rPr>
        <w:t xml:space="preserve">.  </w:t>
      </w:r>
      <w:r w:rsidRPr="00612A69">
        <w:rPr>
          <w:rFonts w:cs="Arial"/>
          <w:shd w:val="clear" w:color="auto" w:fill="FFFFFF"/>
        </w:rPr>
        <w:t>Use of modifiers in recycled thermoplastic in packaging to increase</w:t>
      </w:r>
      <w:r w:rsidRPr="00612A69">
        <w:rPr>
          <w:rStyle w:val="apple-converted-space"/>
          <w:rFonts w:cs="Arial"/>
          <w:shd w:val="clear" w:color="auto" w:fill="FFFFFF"/>
        </w:rPr>
        <w:t xml:space="preserve"> </w:t>
      </w:r>
      <w:r w:rsidRPr="00612A69">
        <w:rPr>
          <w:rStyle w:val="il"/>
          <w:rFonts w:cs="Arial"/>
          <w:shd w:val="clear" w:color="auto" w:fill="FFFFFF"/>
        </w:rPr>
        <w:t>shelf</w:t>
      </w:r>
      <w:r w:rsidRPr="00612A69">
        <w:rPr>
          <w:rFonts w:cs="Arial"/>
          <w:shd w:val="clear" w:color="auto" w:fill="FFFFFF"/>
        </w:rPr>
        <w:t>-</w:t>
      </w:r>
      <w:r w:rsidRPr="00612A69">
        <w:rPr>
          <w:rStyle w:val="il"/>
          <w:rFonts w:cs="Arial"/>
          <w:shd w:val="clear" w:color="auto" w:fill="FFFFFF"/>
        </w:rPr>
        <w:t xml:space="preserve">life </w:t>
      </w:r>
      <w:r w:rsidRPr="00612A69">
        <w:rPr>
          <w:rFonts w:cs="Arial"/>
          <w:shd w:val="clear" w:color="auto" w:fill="FFFFFF"/>
        </w:rPr>
        <w:t>of perishable products.  (</w:t>
      </w:r>
      <w:r w:rsidRPr="00612A69">
        <w:rPr>
          <w:rFonts w:cs="Calibri"/>
          <w:shd w:val="clear" w:color="auto" w:fill="FFFFFF"/>
        </w:rPr>
        <w:t xml:space="preserve">U.S. Pat. Appl. Publ.  US </w:t>
      </w:r>
      <w:r>
        <w:rPr>
          <w:rFonts w:cs="Calibri"/>
          <w:shd w:val="clear" w:color="auto" w:fill="FFFFFF"/>
        </w:rPr>
        <w:t>20170298219A1</w:t>
      </w:r>
      <w:r w:rsidRPr="00612A69">
        <w:rPr>
          <w:rFonts w:cs="Arial"/>
          <w:shd w:val="clear" w:color="auto" w:fill="FFFFFF"/>
        </w:rPr>
        <w:t>).</w:t>
      </w:r>
    </w:p>
    <w:p w:rsidR="00A55196" w:rsidRPr="004E7EB9" w:rsidRDefault="00F13993" w:rsidP="004E7EB9">
      <w:pPr>
        <w:numPr>
          <w:ilvl w:val="0"/>
          <w:numId w:val="1"/>
        </w:numPr>
        <w:spacing w:after="0" w:line="240" w:lineRule="auto"/>
        <w:contextualSpacing/>
        <w:rPr>
          <w:rFonts w:cs="Calibri"/>
        </w:rPr>
      </w:pPr>
      <w:r w:rsidRPr="001D1DD2">
        <w:rPr>
          <w:rFonts w:cs="Calibri"/>
        </w:rPr>
        <w:t>201</w:t>
      </w:r>
      <w:r>
        <w:rPr>
          <w:rFonts w:cs="Calibri"/>
        </w:rPr>
        <w:t>7</w:t>
      </w:r>
      <w:r w:rsidRPr="001D1DD2">
        <w:rPr>
          <w:rFonts w:cs="Calibri"/>
        </w:rPr>
        <w:t xml:space="preserve">.  Danes, Jeffery E., Vorst, Keith., </w:t>
      </w:r>
      <w:r w:rsidRPr="001D1DD2">
        <w:rPr>
          <w:rFonts w:cs="Calibri"/>
          <w:b/>
        </w:rPr>
        <w:t>Curtzwiler, Greg</w:t>
      </w:r>
      <w:r w:rsidRPr="001D1DD2">
        <w:rPr>
          <w:rFonts w:cs="Calibri"/>
        </w:rPr>
        <w:t>.  Systems and methods for determining recycled thermoplastic content.  (</w:t>
      </w:r>
      <w:r w:rsidRPr="001D1DD2">
        <w:t>U.S. Pat. No.</w:t>
      </w:r>
      <w:r>
        <w:t xml:space="preserve"> 9638683</w:t>
      </w:r>
      <w:r w:rsidRPr="001D1DD2">
        <w:rPr>
          <w:rFonts w:cs="Calibri"/>
        </w:rPr>
        <w:t>).</w:t>
      </w:r>
    </w:p>
    <w:p w:rsidR="008C147D" w:rsidRPr="00171EBD" w:rsidRDefault="008C147D" w:rsidP="00934DBC">
      <w:pPr>
        <w:spacing w:after="0" w:line="240" w:lineRule="auto"/>
        <w:jc w:val="both"/>
        <w:rPr>
          <w:rFonts w:ascii="Times New Roman" w:eastAsia="Times New Roman" w:hAnsi="Times New Roman" w:cs="Times New Roman"/>
          <w:i/>
          <w:sz w:val="28"/>
          <w:szCs w:val="28"/>
          <w:u w:val="single"/>
          <w:lang w:eastAsia="en-IN"/>
        </w:rPr>
      </w:pPr>
      <w:bookmarkStart w:id="0" w:name="_GoBack"/>
      <w:bookmarkEnd w:id="0"/>
    </w:p>
    <w:p w:rsidR="00FC37DB" w:rsidRPr="00171EBD" w:rsidRDefault="006829C9" w:rsidP="00934DBC">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p>
    <w:p w:rsidR="004D4A62" w:rsidRDefault="004D4A62" w:rsidP="00934DBC">
      <w:pPr>
        <w:spacing w:after="0" w:line="240" w:lineRule="auto"/>
        <w:jc w:val="both"/>
        <w:rPr>
          <w:rFonts w:ascii="Times New Roman" w:eastAsia="Times New Roman" w:hAnsi="Times New Roman" w:cs="Times New Roman"/>
          <w:i/>
          <w:sz w:val="28"/>
          <w:szCs w:val="28"/>
          <w:lang w:eastAsia="en-IN"/>
        </w:rPr>
      </w:pPr>
    </w:p>
    <w:p w:rsidR="003B3AA6" w:rsidRPr="003B3AA6" w:rsidRDefault="003B3AA6" w:rsidP="003B3AA6">
      <w:pPr>
        <w:spacing w:after="0" w:line="240" w:lineRule="auto"/>
        <w:jc w:val="both"/>
        <w:rPr>
          <w:rFonts w:ascii="Times New Roman" w:eastAsia="Times New Roman" w:hAnsi="Times New Roman" w:cs="Times New Roman"/>
          <w:sz w:val="28"/>
          <w:szCs w:val="28"/>
          <w:lang w:eastAsia="en-IN"/>
        </w:rPr>
      </w:pPr>
      <w:r w:rsidRPr="003B3AA6">
        <w:rPr>
          <w:rFonts w:ascii="Times New Roman" w:eastAsia="Times New Roman" w:hAnsi="Times New Roman" w:cs="Times New Roman"/>
          <w:sz w:val="28"/>
          <w:szCs w:val="28"/>
          <w:lang w:eastAsia="en-IN"/>
        </w:rPr>
        <w:t>Greg Curtzwiler, Ph.D.</w:t>
      </w:r>
    </w:p>
    <w:p w:rsidR="003B3AA6" w:rsidRPr="003B3AA6" w:rsidRDefault="003B3AA6" w:rsidP="003B3AA6">
      <w:pPr>
        <w:spacing w:after="0" w:line="240" w:lineRule="auto"/>
        <w:jc w:val="both"/>
        <w:rPr>
          <w:rFonts w:ascii="Times New Roman" w:eastAsia="Times New Roman" w:hAnsi="Times New Roman" w:cs="Times New Roman"/>
          <w:sz w:val="28"/>
          <w:szCs w:val="28"/>
          <w:lang w:eastAsia="en-IN"/>
        </w:rPr>
      </w:pPr>
      <w:r w:rsidRPr="003B3AA6">
        <w:rPr>
          <w:rFonts w:ascii="Times New Roman" w:eastAsia="Times New Roman" w:hAnsi="Times New Roman" w:cs="Times New Roman"/>
          <w:sz w:val="28"/>
          <w:szCs w:val="28"/>
          <w:lang w:eastAsia="en-IN"/>
        </w:rPr>
        <w:t>Polymer and Food Protection Consortium</w:t>
      </w:r>
    </w:p>
    <w:p w:rsidR="003B3AA6" w:rsidRPr="003B3AA6" w:rsidRDefault="003B3AA6" w:rsidP="003B3AA6">
      <w:pPr>
        <w:spacing w:after="0" w:line="240" w:lineRule="auto"/>
        <w:jc w:val="both"/>
        <w:rPr>
          <w:rFonts w:ascii="Times New Roman" w:eastAsia="Times New Roman" w:hAnsi="Times New Roman" w:cs="Times New Roman"/>
          <w:sz w:val="28"/>
          <w:szCs w:val="28"/>
          <w:lang w:eastAsia="en-IN"/>
        </w:rPr>
      </w:pPr>
      <w:r w:rsidRPr="003B3AA6">
        <w:rPr>
          <w:rFonts w:ascii="Times New Roman" w:eastAsia="Times New Roman" w:hAnsi="Times New Roman" w:cs="Times New Roman"/>
          <w:sz w:val="28"/>
          <w:szCs w:val="28"/>
          <w:lang w:eastAsia="en-IN"/>
        </w:rPr>
        <w:t>Iowa State University</w:t>
      </w:r>
    </w:p>
    <w:p w:rsidR="003B3AA6" w:rsidRPr="003B3AA6" w:rsidRDefault="003B3AA6" w:rsidP="003B3AA6">
      <w:pPr>
        <w:spacing w:after="0" w:line="240" w:lineRule="auto"/>
        <w:jc w:val="both"/>
        <w:rPr>
          <w:rFonts w:ascii="Times New Roman" w:eastAsia="Times New Roman" w:hAnsi="Times New Roman" w:cs="Times New Roman"/>
          <w:sz w:val="28"/>
          <w:szCs w:val="28"/>
          <w:lang w:eastAsia="en-IN"/>
        </w:rPr>
      </w:pPr>
      <w:r w:rsidRPr="003B3AA6">
        <w:rPr>
          <w:rFonts w:ascii="Times New Roman" w:eastAsia="Times New Roman" w:hAnsi="Times New Roman" w:cs="Times New Roman"/>
          <w:sz w:val="28"/>
          <w:szCs w:val="28"/>
          <w:lang w:eastAsia="en-IN"/>
        </w:rPr>
        <w:t>536 Farmhouse Lane</w:t>
      </w:r>
    </w:p>
    <w:p w:rsidR="003B3AA6" w:rsidRPr="003B3AA6" w:rsidRDefault="003B3AA6" w:rsidP="003B3AA6">
      <w:pPr>
        <w:spacing w:after="0" w:line="240" w:lineRule="auto"/>
        <w:jc w:val="both"/>
        <w:rPr>
          <w:rFonts w:ascii="Times New Roman" w:eastAsia="Times New Roman" w:hAnsi="Times New Roman" w:cs="Times New Roman"/>
          <w:sz w:val="28"/>
          <w:szCs w:val="28"/>
          <w:lang w:eastAsia="en-IN"/>
        </w:rPr>
      </w:pPr>
      <w:r w:rsidRPr="003B3AA6">
        <w:rPr>
          <w:rFonts w:ascii="Times New Roman" w:eastAsia="Times New Roman" w:hAnsi="Times New Roman" w:cs="Times New Roman"/>
          <w:sz w:val="28"/>
          <w:szCs w:val="28"/>
          <w:lang w:eastAsia="en-IN"/>
        </w:rPr>
        <w:t>1543 Food Science Building</w:t>
      </w:r>
    </w:p>
    <w:p w:rsidR="003B3AA6" w:rsidRPr="003B3AA6" w:rsidRDefault="003B3AA6" w:rsidP="003B3AA6">
      <w:pPr>
        <w:spacing w:after="0" w:line="240" w:lineRule="auto"/>
        <w:jc w:val="both"/>
        <w:rPr>
          <w:rFonts w:ascii="Times New Roman" w:eastAsia="Times New Roman" w:hAnsi="Times New Roman" w:cs="Times New Roman"/>
          <w:sz w:val="28"/>
          <w:szCs w:val="28"/>
          <w:lang w:eastAsia="en-IN"/>
        </w:rPr>
      </w:pPr>
      <w:r w:rsidRPr="003B3AA6">
        <w:rPr>
          <w:rFonts w:ascii="Times New Roman" w:eastAsia="Times New Roman" w:hAnsi="Times New Roman" w:cs="Times New Roman"/>
          <w:sz w:val="28"/>
          <w:szCs w:val="28"/>
          <w:lang w:eastAsia="en-IN"/>
        </w:rPr>
        <w:t>Ames, IA 50011</w:t>
      </w:r>
    </w:p>
    <w:p w:rsidR="003B3AA6" w:rsidRPr="00171EBD" w:rsidRDefault="003B3AA6" w:rsidP="00934DBC">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934DBC">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p>
    <w:p w:rsidR="00171EBD" w:rsidRDefault="00171EBD" w:rsidP="00934DBC">
      <w:pPr>
        <w:spacing w:after="0" w:line="240" w:lineRule="auto"/>
        <w:jc w:val="both"/>
        <w:rPr>
          <w:rFonts w:asciiTheme="majorHAnsi" w:eastAsia="Times New Roman" w:hAnsiTheme="majorHAnsi" w:cstheme="majorBidi"/>
          <w:color w:val="AA610D" w:themeColor="accent1" w:themeShade="BF"/>
          <w:sz w:val="28"/>
          <w:szCs w:val="28"/>
          <w:lang w:eastAsia="en-IN"/>
        </w:rPr>
      </w:pPr>
    </w:p>
    <w:p w:rsidR="00E640C2" w:rsidRPr="00787285" w:rsidRDefault="00D85678" w:rsidP="00934DBC">
      <w:pPr>
        <w:spacing w:after="0" w:line="240" w:lineRule="auto"/>
        <w:jc w:val="both"/>
        <w:rPr>
          <w:rFonts w:asciiTheme="majorHAnsi" w:eastAsia="Times New Roman" w:hAnsiTheme="majorHAnsi" w:cstheme="majorBidi"/>
          <w:sz w:val="28"/>
          <w:szCs w:val="28"/>
          <w:lang w:eastAsia="en-IN"/>
        </w:rPr>
      </w:pPr>
      <w:r w:rsidRPr="00787285">
        <w:rPr>
          <w:rFonts w:asciiTheme="majorHAnsi" w:eastAsia="Times New Roman" w:hAnsiTheme="majorHAnsi" w:cstheme="majorBidi"/>
          <w:sz w:val="28"/>
          <w:szCs w:val="28"/>
          <w:lang w:eastAsia="en-IN"/>
        </w:rPr>
        <w:t>001-</w:t>
      </w:r>
      <w:r w:rsidR="00E640C2" w:rsidRPr="00787285">
        <w:rPr>
          <w:rFonts w:asciiTheme="majorHAnsi" w:eastAsia="Times New Roman" w:hAnsiTheme="majorHAnsi" w:cstheme="majorBidi"/>
          <w:sz w:val="28"/>
          <w:szCs w:val="28"/>
          <w:lang w:eastAsia="en-IN"/>
        </w:rPr>
        <w:t>510-299-0721</w:t>
      </w:r>
    </w:p>
    <w:p w:rsidR="00E640C2" w:rsidRPr="00171EBD" w:rsidRDefault="00E640C2" w:rsidP="00934DBC">
      <w:pPr>
        <w:spacing w:after="0" w:line="240" w:lineRule="auto"/>
        <w:jc w:val="both"/>
        <w:rPr>
          <w:rFonts w:asciiTheme="majorHAnsi" w:eastAsia="Times New Roman" w:hAnsiTheme="majorHAnsi" w:cstheme="majorBidi"/>
          <w:color w:val="AA610D" w:themeColor="accent1" w:themeShade="BF"/>
          <w:sz w:val="28"/>
          <w:szCs w:val="28"/>
          <w:lang w:eastAsia="en-IN"/>
        </w:rPr>
      </w:pPr>
    </w:p>
    <w:p w:rsidR="00171EBD" w:rsidRPr="00171EBD" w:rsidRDefault="00171EBD" w:rsidP="00934DBC">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lastRenderedPageBreak/>
        <w:t>Suggestions of colleagues/Professors/scholars to send invitation (if any)</w:t>
      </w:r>
    </w:p>
    <w:p w:rsidR="004D4A62" w:rsidRDefault="004D4A62" w:rsidP="00934DBC">
      <w:pPr>
        <w:spacing w:after="0" w:line="240" w:lineRule="auto"/>
        <w:jc w:val="both"/>
        <w:rPr>
          <w:rFonts w:asciiTheme="majorHAnsi" w:eastAsia="Times New Roman" w:hAnsiTheme="majorHAnsi" w:cstheme="majorBidi"/>
          <w:color w:val="AA610D" w:themeColor="accent1" w:themeShade="BF"/>
          <w:sz w:val="28"/>
          <w:szCs w:val="28"/>
          <w:lang w:eastAsia="en-IN"/>
        </w:rPr>
      </w:pPr>
    </w:p>
    <w:p w:rsidR="0094755C" w:rsidRDefault="0094755C" w:rsidP="00934DBC">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Keith Vorst</w:t>
      </w:r>
      <w:r w:rsidR="003F25E3">
        <w:rPr>
          <w:rFonts w:asciiTheme="majorHAnsi" w:eastAsia="Times New Roman" w:hAnsiTheme="majorHAnsi" w:cstheme="majorBidi"/>
          <w:color w:val="AA610D" w:themeColor="accent1" w:themeShade="BF"/>
          <w:sz w:val="28"/>
          <w:szCs w:val="28"/>
          <w:lang w:eastAsia="en-IN"/>
        </w:rPr>
        <w:t xml:space="preserve">: </w:t>
      </w:r>
      <w:hyperlink r:id="rId8" w:history="1">
        <w:r w:rsidR="003F25E3" w:rsidRPr="00255DDA">
          <w:rPr>
            <w:rStyle w:val="Hyperlink"/>
            <w:rFonts w:asciiTheme="majorHAnsi" w:eastAsia="Times New Roman" w:hAnsiTheme="majorHAnsi" w:cstheme="majorBidi"/>
            <w:sz w:val="28"/>
            <w:szCs w:val="28"/>
            <w:lang w:eastAsia="en-IN"/>
          </w:rPr>
          <w:t>kvorst@iastate.edu</w:t>
        </w:r>
      </w:hyperlink>
    </w:p>
    <w:p w:rsidR="003F25E3" w:rsidRDefault="003F25E3" w:rsidP="00934DBC">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 xml:space="preserve">Eric Williams: </w:t>
      </w:r>
      <w:hyperlink r:id="rId9" w:history="1">
        <w:r w:rsidRPr="00255DDA">
          <w:rPr>
            <w:rStyle w:val="Hyperlink"/>
            <w:rFonts w:asciiTheme="majorHAnsi" w:eastAsia="Times New Roman" w:hAnsiTheme="majorHAnsi" w:cstheme="majorBidi"/>
            <w:sz w:val="28"/>
            <w:szCs w:val="28"/>
            <w:lang w:eastAsia="en-IN"/>
          </w:rPr>
          <w:t>eric.williams@usm.edu</w:t>
        </w:r>
      </w:hyperlink>
    </w:p>
    <w:p w:rsidR="0094755C" w:rsidRPr="00171EBD" w:rsidRDefault="0094755C" w:rsidP="00934DBC">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Default="004D4A62" w:rsidP="00934DBC">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p w:rsidR="0078734A" w:rsidRDefault="0078734A" w:rsidP="00934DBC">
      <w:pPr>
        <w:spacing w:after="0" w:line="240" w:lineRule="auto"/>
        <w:jc w:val="both"/>
        <w:rPr>
          <w:sz w:val="28"/>
          <w:szCs w:val="28"/>
        </w:rPr>
      </w:pPr>
    </w:p>
    <w:p w:rsidR="0078734A" w:rsidRPr="00171EBD" w:rsidRDefault="0078734A" w:rsidP="00934DBC">
      <w:pPr>
        <w:spacing w:after="0" w:line="240" w:lineRule="auto"/>
        <w:jc w:val="both"/>
        <w:rPr>
          <w:sz w:val="28"/>
          <w:szCs w:val="28"/>
        </w:rPr>
      </w:pPr>
      <w:r>
        <w:rPr>
          <w:sz w:val="28"/>
          <w:szCs w:val="28"/>
        </w:rPr>
        <w:t>Polymer science</w:t>
      </w:r>
    </w:p>
    <w:sectPr w:rsidR="0078734A"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71DA" w:rsidRDefault="001971DA" w:rsidP="004A0988">
      <w:pPr>
        <w:spacing w:after="0" w:line="240" w:lineRule="auto"/>
      </w:pPr>
      <w:r>
        <w:separator/>
      </w:r>
    </w:p>
  </w:endnote>
  <w:endnote w:type="continuationSeparator" w:id="0">
    <w:p w:rsidR="001971DA" w:rsidRDefault="001971DA"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71DA" w:rsidRDefault="001971DA" w:rsidP="004A0988">
      <w:pPr>
        <w:spacing w:after="0" w:line="240" w:lineRule="auto"/>
      </w:pPr>
      <w:r>
        <w:separator/>
      </w:r>
    </w:p>
  </w:footnote>
  <w:footnote w:type="continuationSeparator" w:id="0">
    <w:p w:rsidR="001971DA" w:rsidRDefault="001971DA" w:rsidP="004A09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76B8E"/>
    <w:multiLevelType w:val="hybridMultilevel"/>
    <w:tmpl w:val="06F67072"/>
    <w:lvl w:ilvl="0" w:tplc="DFA2D3E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7DA57E1"/>
    <w:multiLevelType w:val="hybridMultilevel"/>
    <w:tmpl w:val="C3C2701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37DB"/>
    <w:rsid w:val="0003649A"/>
    <w:rsid w:val="00053BF6"/>
    <w:rsid w:val="00081867"/>
    <w:rsid w:val="00091FB4"/>
    <w:rsid w:val="000E608D"/>
    <w:rsid w:val="000F4ACD"/>
    <w:rsid w:val="00116A12"/>
    <w:rsid w:val="00171222"/>
    <w:rsid w:val="00171EBD"/>
    <w:rsid w:val="001971DA"/>
    <w:rsid w:val="002C33EC"/>
    <w:rsid w:val="002C3F9D"/>
    <w:rsid w:val="00302669"/>
    <w:rsid w:val="0031545C"/>
    <w:rsid w:val="003668C9"/>
    <w:rsid w:val="003B3AA6"/>
    <w:rsid w:val="003F25E3"/>
    <w:rsid w:val="0046482D"/>
    <w:rsid w:val="004844ED"/>
    <w:rsid w:val="004A0988"/>
    <w:rsid w:val="004D4A62"/>
    <w:rsid w:val="004E7EB9"/>
    <w:rsid w:val="005116CB"/>
    <w:rsid w:val="00516442"/>
    <w:rsid w:val="00591667"/>
    <w:rsid w:val="005A05D1"/>
    <w:rsid w:val="005E0DBF"/>
    <w:rsid w:val="006829C9"/>
    <w:rsid w:val="00787285"/>
    <w:rsid w:val="0078734A"/>
    <w:rsid w:val="00811057"/>
    <w:rsid w:val="0082457B"/>
    <w:rsid w:val="00866D5F"/>
    <w:rsid w:val="008B2BCD"/>
    <w:rsid w:val="008B3936"/>
    <w:rsid w:val="008C0C9A"/>
    <w:rsid w:val="008C147D"/>
    <w:rsid w:val="00934DBC"/>
    <w:rsid w:val="009432E6"/>
    <w:rsid w:val="0094755C"/>
    <w:rsid w:val="00955AEB"/>
    <w:rsid w:val="009A5A78"/>
    <w:rsid w:val="009B35DD"/>
    <w:rsid w:val="00A2302C"/>
    <w:rsid w:val="00A3017E"/>
    <w:rsid w:val="00A430A0"/>
    <w:rsid w:val="00A55196"/>
    <w:rsid w:val="00AC4C82"/>
    <w:rsid w:val="00B16FD0"/>
    <w:rsid w:val="00B64DBB"/>
    <w:rsid w:val="00BC3C7B"/>
    <w:rsid w:val="00BD7B24"/>
    <w:rsid w:val="00C643B3"/>
    <w:rsid w:val="00D13429"/>
    <w:rsid w:val="00D85678"/>
    <w:rsid w:val="00DF28AE"/>
    <w:rsid w:val="00E640C2"/>
    <w:rsid w:val="00F13993"/>
    <w:rsid w:val="00F16375"/>
    <w:rsid w:val="00F35F61"/>
    <w:rsid w:val="00FC37DB"/>
    <w:rsid w:val="00FE77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E06D4"/>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character" w:styleId="Hyperlink">
    <w:name w:val="Hyperlink"/>
    <w:basedOn w:val="DefaultParagraphFont"/>
    <w:uiPriority w:val="99"/>
    <w:unhideWhenUsed/>
    <w:rsid w:val="003F25E3"/>
    <w:rPr>
      <w:color w:val="2998E3" w:themeColor="hyperlink"/>
      <w:u w:val="single"/>
    </w:rPr>
  </w:style>
  <w:style w:type="character" w:styleId="UnresolvedMention">
    <w:name w:val="Unresolved Mention"/>
    <w:basedOn w:val="DefaultParagraphFont"/>
    <w:uiPriority w:val="99"/>
    <w:semiHidden/>
    <w:unhideWhenUsed/>
    <w:rsid w:val="003F25E3"/>
    <w:rPr>
      <w:color w:val="808080"/>
      <w:shd w:val="clear" w:color="auto" w:fill="E6E6E6"/>
    </w:rPr>
  </w:style>
  <w:style w:type="character" w:customStyle="1" w:styleId="apple-converted-space">
    <w:name w:val="apple-converted-space"/>
    <w:rsid w:val="00F13993"/>
  </w:style>
  <w:style w:type="character" w:customStyle="1" w:styleId="il">
    <w:name w:val="il"/>
    <w:basedOn w:val="DefaultParagraphFont"/>
    <w:rsid w:val="00F13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vorst@iastate.edu"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ric.williams@usm.edu" TargetMode="Externa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3</Pages>
  <Words>767</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Greg Curtzwiler</cp:lastModifiedBy>
  <cp:revision>43</cp:revision>
  <dcterms:created xsi:type="dcterms:W3CDTF">2017-07-03T10:49:00Z</dcterms:created>
  <dcterms:modified xsi:type="dcterms:W3CDTF">2017-12-22T00:40:00Z</dcterms:modified>
</cp:coreProperties>
</file>