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6B4" w:rsidRPr="00E73F00" w:rsidRDefault="003636B4" w:rsidP="003636B4">
      <w:pPr>
        <w:spacing w:before="120" w:after="120" w:line="240" w:lineRule="auto"/>
        <w:jc w:val="center"/>
        <w:rPr>
          <w:rFonts w:asciiTheme="majorBidi" w:hAnsiTheme="majorBidi" w:cstheme="majorBidi"/>
          <w:b/>
          <w:sz w:val="24"/>
          <w:szCs w:val="24"/>
        </w:rPr>
      </w:pPr>
      <w:r w:rsidRPr="00E73F00">
        <w:rPr>
          <w:rFonts w:asciiTheme="majorBidi" w:hAnsiTheme="majorBidi" w:cstheme="majorBidi"/>
          <w:b/>
          <w:sz w:val="24"/>
          <w:szCs w:val="24"/>
        </w:rPr>
        <w:t xml:space="preserve">Inheritance of Sorghum resistance to </w:t>
      </w:r>
      <w:r w:rsidRPr="00E73F00">
        <w:rPr>
          <w:rFonts w:asciiTheme="majorBidi" w:hAnsiTheme="majorBidi" w:cstheme="majorBidi"/>
          <w:b/>
          <w:bCs/>
          <w:sz w:val="24"/>
          <w:szCs w:val="24"/>
          <w:lang w:bidi="en-US"/>
        </w:rPr>
        <w:t>Sorghum Downy Mildew</w:t>
      </w:r>
      <w:r w:rsidRPr="00E73F00">
        <w:rPr>
          <w:rFonts w:asciiTheme="majorBidi" w:hAnsiTheme="majorBidi" w:cstheme="majorBidi"/>
          <w:sz w:val="24"/>
          <w:szCs w:val="24"/>
          <w:lang w:bidi="en-US"/>
        </w:rPr>
        <w:t xml:space="preserve"> </w:t>
      </w:r>
      <w:r w:rsidRPr="00E73F00">
        <w:rPr>
          <w:rFonts w:asciiTheme="majorBidi" w:hAnsiTheme="majorBidi" w:cstheme="majorBidi"/>
          <w:b/>
          <w:sz w:val="24"/>
          <w:szCs w:val="24"/>
        </w:rPr>
        <w:t>in Uganda</w:t>
      </w:r>
    </w:p>
    <w:p w:rsidR="003636B4" w:rsidRPr="00E73F00" w:rsidRDefault="003636B4" w:rsidP="003636B4">
      <w:pPr>
        <w:spacing w:before="120" w:after="120" w:line="240" w:lineRule="auto"/>
        <w:jc w:val="both"/>
        <w:rPr>
          <w:rFonts w:asciiTheme="majorBidi" w:hAnsiTheme="majorBidi" w:cstheme="majorBidi"/>
          <w:b/>
          <w:sz w:val="24"/>
          <w:szCs w:val="24"/>
        </w:rPr>
      </w:pPr>
    </w:p>
    <w:p w:rsidR="003636B4" w:rsidRPr="00E73F00" w:rsidRDefault="003636B4" w:rsidP="003636B4">
      <w:pPr>
        <w:spacing w:before="120" w:after="120" w:line="276" w:lineRule="auto"/>
        <w:jc w:val="center"/>
        <w:rPr>
          <w:rFonts w:asciiTheme="majorBidi" w:hAnsiTheme="majorBidi" w:cstheme="majorBidi"/>
          <w:bCs/>
          <w:sz w:val="24"/>
          <w:szCs w:val="24"/>
        </w:rPr>
      </w:pPr>
      <w:r w:rsidRPr="00E73F00">
        <w:rPr>
          <w:rFonts w:asciiTheme="majorBidi" w:hAnsiTheme="majorBidi" w:cstheme="majorBidi"/>
          <w:bCs/>
          <w:sz w:val="24"/>
          <w:szCs w:val="24"/>
        </w:rPr>
        <w:t>P Odongo</w:t>
      </w:r>
      <w:r w:rsidRPr="00E73F00">
        <w:rPr>
          <w:rFonts w:asciiTheme="majorBidi" w:hAnsiTheme="majorBidi" w:cstheme="majorBidi"/>
          <w:bCs/>
          <w:sz w:val="24"/>
          <w:szCs w:val="24"/>
          <w:vertAlign w:val="superscript"/>
        </w:rPr>
        <w:t>1</w:t>
      </w:r>
      <w:r>
        <w:rPr>
          <w:rFonts w:asciiTheme="majorBidi" w:hAnsiTheme="majorBidi" w:cstheme="majorBidi"/>
          <w:bCs/>
          <w:sz w:val="24"/>
          <w:szCs w:val="24"/>
          <w:vertAlign w:val="superscript"/>
        </w:rPr>
        <w:t>*</w:t>
      </w:r>
      <w:r w:rsidRPr="00E73F00">
        <w:rPr>
          <w:rFonts w:asciiTheme="majorBidi" w:hAnsiTheme="majorBidi" w:cstheme="majorBidi"/>
          <w:bCs/>
          <w:sz w:val="24"/>
          <w:szCs w:val="24"/>
        </w:rPr>
        <w:t>, M Biruma</w:t>
      </w:r>
      <w:r w:rsidRPr="00E73F00">
        <w:rPr>
          <w:rFonts w:asciiTheme="majorBidi" w:hAnsiTheme="majorBidi" w:cstheme="majorBidi"/>
          <w:bCs/>
          <w:sz w:val="24"/>
          <w:szCs w:val="24"/>
          <w:vertAlign w:val="superscript"/>
        </w:rPr>
        <w:t>2</w:t>
      </w:r>
      <w:r w:rsidRPr="00E73F00">
        <w:rPr>
          <w:rFonts w:asciiTheme="majorBidi" w:hAnsiTheme="majorBidi" w:cstheme="majorBidi"/>
          <w:bCs/>
          <w:sz w:val="24"/>
          <w:szCs w:val="24"/>
        </w:rPr>
        <w:t>, R Edema</w:t>
      </w:r>
      <w:r w:rsidRPr="00E73F00">
        <w:rPr>
          <w:rFonts w:asciiTheme="majorBidi" w:hAnsiTheme="majorBidi" w:cstheme="majorBidi"/>
          <w:bCs/>
          <w:sz w:val="24"/>
          <w:szCs w:val="24"/>
          <w:vertAlign w:val="superscript"/>
        </w:rPr>
        <w:t>1</w:t>
      </w:r>
      <w:r w:rsidRPr="00E73F00">
        <w:rPr>
          <w:rFonts w:asciiTheme="majorBidi" w:hAnsiTheme="majorBidi" w:cstheme="majorBidi"/>
          <w:bCs/>
          <w:sz w:val="24"/>
          <w:szCs w:val="24"/>
        </w:rPr>
        <w:t>, P Gibson</w:t>
      </w:r>
      <w:r w:rsidRPr="00E73F00">
        <w:rPr>
          <w:rFonts w:asciiTheme="majorBidi" w:hAnsiTheme="majorBidi" w:cstheme="majorBidi"/>
          <w:bCs/>
          <w:sz w:val="24"/>
          <w:szCs w:val="24"/>
          <w:vertAlign w:val="superscript"/>
        </w:rPr>
        <w:t>1</w:t>
      </w:r>
      <w:r w:rsidRPr="00E73F00">
        <w:rPr>
          <w:rFonts w:asciiTheme="majorBidi" w:hAnsiTheme="majorBidi" w:cstheme="majorBidi"/>
          <w:bCs/>
          <w:sz w:val="24"/>
          <w:szCs w:val="24"/>
        </w:rPr>
        <w:t xml:space="preserve"> and G Tusiime</w:t>
      </w:r>
      <w:r w:rsidRPr="00E73F00">
        <w:rPr>
          <w:rFonts w:asciiTheme="majorBidi" w:hAnsiTheme="majorBidi" w:cstheme="majorBidi"/>
          <w:bCs/>
          <w:sz w:val="24"/>
          <w:szCs w:val="24"/>
          <w:vertAlign w:val="superscript"/>
        </w:rPr>
        <w:t>1</w:t>
      </w:r>
    </w:p>
    <w:p w:rsidR="003636B4" w:rsidRPr="00E73F00" w:rsidRDefault="003636B4" w:rsidP="003636B4">
      <w:pPr>
        <w:pStyle w:val="ListParagraph"/>
        <w:spacing w:line="240" w:lineRule="auto"/>
        <w:jc w:val="center"/>
        <w:rPr>
          <w:rFonts w:asciiTheme="majorBidi" w:hAnsiTheme="majorBidi" w:cstheme="majorBidi"/>
          <w:sz w:val="24"/>
          <w:szCs w:val="24"/>
        </w:rPr>
      </w:pPr>
      <w:r w:rsidRPr="00E73F00">
        <w:rPr>
          <w:rFonts w:asciiTheme="majorBidi" w:hAnsiTheme="majorBidi" w:cstheme="majorBidi"/>
          <w:sz w:val="24"/>
          <w:szCs w:val="24"/>
          <w:vertAlign w:val="superscript"/>
        </w:rPr>
        <w:t>1</w:t>
      </w:r>
      <w:r w:rsidRPr="00E73F00">
        <w:rPr>
          <w:rFonts w:asciiTheme="majorBidi" w:hAnsiTheme="majorBidi" w:cstheme="majorBidi"/>
          <w:sz w:val="24"/>
          <w:szCs w:val="24"/>
        </w:rPr>
        <w:t>Department of Agricultural Production, School of Agricultural Sciences, Makerere University, P.O Box 7062, Kampala; Uganda</w:t>
      </w:r>
    </w:p>
    <w:p w:rsidR="003636B4" w:rsidRPr="00E73F00" w:rsidRDefault="003636B4" w:rsidP="003636B4">
      <w:pPr>
        <w:pStyle w:val="ListParagraph"/>
        <w:spacing w:line="240" w:lineRule="auto"/>
        <w:jc w:val="center"/>
        <w:rPr>
          <w:rFonts w:asciiTheme="majorBidi" w:hAnsiTheme="majorBidi" w:cstheme="majorBidi"/>
          <w:sz w:val="24"/>
          <w:szCs w:val="24"/>
        </w:rPr>
      </w:pPr>
      <w:r w:rsidRPr="00E73F00">
        <w:rPr>
          <w:rFonts w:asciiTheme="majorBidi" w:hAnsiTheme="majorBidi" w:cstheme="majorBidi"/>
          <w:sz w:val="24"/>
          <w:szCs w:val="24"/>
          <w:vertAlign w:val="superscript"/>
        </w:rPr>
        <w:t>2</w:t>
      </w:r>
      <w:r w:rsidRPr="00E73F00">
        <w:rPr>
          <w:rFonts w:asciiTheme="majorBidi" w:hAnsiTheme="majorBidi" w:cstheme="majorBidi"/>
          <w:sz w:val="24"/>
          <w:szCs w:val="24"/>
        </w:rPr>
        <w:t>National Semi-Arid Resources Research Institute (NaSARRI), P. O. Box 56, Soroti; Uganda</w:t>
      </w:r>
    </w:p>
    <w:p w:rsidR="003636B4" w:rsidRPr="00E73F00" w:rsidRDefault="003636B4" w:rsidP="003636B4">
      <w:pPr>
        <w:spacing w:before="120" w:after="120" w:line="240" w:lineRule="auto"/>
        <w:jc w:val="center"/>
        <w:rPr>
          <w:rFonts w:asciiTheme="majorBidi" w:eastAsiaTheme="minorHAnsi" w:hAnsiTheme="majorBidi" w:cstheme="majorBidi"/>
          <w:sz w:val="24"/>
          <w:szCs w:val="24"/>
        </w:rPr>
      </w:pPr>
      <w:r w:rsidRPr="00E73F00">
        <w:rPr>
          <w:rFonts w:asciiTheme="majorBidi" w:eastAsiaTheme="minorHAnsi" w:hAnsiTheme="majorBidi" w:cstheme="majorBidi"/>
          <w:bCs/>
          <w:sz w:val="24"/>
          <w:szCs w:val="24"/>
        </w:rPr>
        <w:t>*Corresponding author</w:t>
      </w:r>
      <w:r w:rsidRPr="00E73F00">
        <w:rPr>
          <w:rFonts w:asciiTheme="majorBidi" w:eastAsiaTheme="minorHAnsi" w:hAnsiTheme="majorBidi" w:cstheme="majorBidi"/>
          <w:sz w:val="24"/>
          <w:szCs w:val="24"/>
        </w:rPr>
        <w:t xml:space="preserve">: </w:t>
      </w:r>
      <w:hyperlink r:id="rId4" w:history="1">
        <w:r w:rsidRPr="00E73F00">
          <w:rPr>
            <w:rStyle w:val="Hyperlink"/>
            <w:rFonts w:asciiTheme="majorBidi" w:hAnsiTheme="majorBidi"/>
            <w:sz w:val="24"/>
            <w:szCs w:val="24"/>
          </w:rPr>
          <w:t>peggyodongo@gmail.com</w:t>
        </w:r>
      </w:hyperlink>
    </w:p>
    <w:p w:rsidR="003636B4" w:rsidRPr="00E73F00" w:rsidRDefault="003636B4" w:rsidP="003636B4">
      <w:pPr>
        <w:autoSpaceDE w:val="0"/>
        <w:autoSpaceDN w:val="0"/>
        <w:adjustRightInd w:val="0"/>
        <w:spacing w:before="120" w:after="120" w:line="240" w:lineRule="auto"/>
        <w:rPr>
          <w:rFonts w:asciiTheme="majorBidi" w:hAnsiTheme="majorBidi" w:cstheme="majorBidi"/>
          <w:sz w:val="24"/>
          <w:szCs w:val="24"/>
        </w:rPr>
      </w:pPr>
    </w:p>
    <w:p w:rsidR="003636B4" w:rsidRPr="00E73F00" w:rsidRDefault="003636B4" w:rsidP="003636B4">
      <w:pPr>
        <w:autoSpaceDE w:val="0"/>
        <w:autoSpaceDN w:val="0"/>
        <w:adjustRightInd w:val="0"/>
        <w:spacing w:before="120" w:after="120" w:line="240" w:lineRule="auto"/>
        <w:jc w:val="center"/>
        <w:rPr>
          <w:rFonts w:asciiTheme="majorBidi" w:hAnsiTheme="majorBidi" w:cstheme="majorBidi"/>
          <w:b/>
          <w:sz w:val="24"/>
          <w:szCs w:val="24"/>
        </w:rPr>
      </w:pPr>
      <w:r w:rsidRPr="00E73F00">
        <w:rPr>
          <w:rFonts w:asciiTheme="majorBidi" w:hAnsiTheme="majorBidi" w:cstheme="majorBidi"/>
          <w:b/>
          <w:sz w:val="24"/>
          <w:szCs w:val="24"/>
        </w:rPr>
        <w:t>ABSTRACT</w:t>
      </w:r>
    </w:p>
    <w:p w:rsidR="003636B4" w:rsidRPr="00E73F00" w:rsidRDefault="003636B4" w:rsidP="003636B4">
      <w:pPr>
        <w:spacing w:line="276" w:lineRule="auto"/>
        <w:jc w:val="both"/>
        <w:rPr>
          <w:rFonts w:asciiTheme="majorBidi" w:hAnsiTheme="majorBidi" w:cstheme="majorBidi"/>
          <w:sz w:val="24"/>
          <w:szCs w:val="24"/>
          <w:lang w:bidi="en-US"/>
        </w:rPr>
      </w:pPr>
      <w:r w:rsidRPr="00E73F00">
        <w:rPr>
          <w:rFonts w:asciiTheme="majorBidi" w:hAnsiTheme="majorBidi" w:cstheme="majorBidi"/>
          <w:sz w:val="24"/>
          <w:szCs w:val="24"/>
          <w:lang w:bidi="en-US"/>
        </w:rPr>
        <w:t xml:space="preserve">Sorghum Downy Mildew (SDM) disease caused by </w:t>
      </w:r>
      <w:r w:rsidRPr="00E73F00">
        <w:rPr>
          <w:rFonts w:asciiTheme="majorBidi" w:hAnsiTheme="majorBidi" w:cstheme="majorBidi"/>
          <w:i/>
          <w:iCs/>
          <w:sz w:val="24"/>
          <w:szCs w:val="24"/>
          <w:lang w:bidi="en-US"/>
        </w:rPr>
        <w:t>Peronosclerospora sorghi</w:t>
      </w:r>
      <w:r w:rsidRPr="00E73F00">
        <w:rPr>
          <w:rFonts w:asciiTheme="majorBidi" w:hAnsiTheme="majorBidi" w:cstheme="majorBidi"/>
          <w:sz w:val="24"/>
          <w:szCs w:val="24"/>
          <w:lang w:bidi="en-US"/>
        </w:rPr>
        <w:t xml:space="preserve"> is </w:t>
      </w:r>
      <w:r>
        <w:rPr>
          <w:rFonts w:asciiTheme="majorBidi" w:hAnsiTheme="majorBidi" w:cstheme="majorBidi"/>
          <w:sz w:val="24"/>
          <w:szCs w:val="24"/>
          <w:lang w:bidi="en-US"/>
        </w:rPr>
        <w:t xml:space="preserve">a </w:t>
      </w:r>
      <w:r w:rsidRPr="00E73F00">
        <w:rPr>
          <w:rFonts w:asciiTheme="majorBidi" w:hAnsiTheme="majorBidi" w:cstheme="majorBidi"/>
          <w:sz w:val="24"/>
          <w:szCs w:val="24"/>
          <w:lang w:bidi="en-US"/>
        </w:rPr>
        <w:t>major threat to sorghum production in Uganda.</w:t>
      </w:r>
      <w:r w:rsidRPr="00E73F00">
        <w:rPr>
          <w:rFonts w:asciiTheme="majorBidi" w:hAnsiTheme="majorBidi" w:cstheme="majorBidi"/>
          <w:noProof/>
          <w:sz w:val="24"/>
          <w:szCs w:val="24"/>
        </w:rPr>
        <w:t xml:space="preserve"> Use of resistant genotypes is the most effective method for managing SDM. </w:t>
      </w:r>
      <w:r w:rsidRPr="00E73F00">
        <w:rPr>
          <w:rFonts w:asciiTheme="majorBidi" w:hAnsiTheme="majorBidi" w:cstheme="majorBidi"/>
          <w:sz w:val="24"/>
          <w:szCs w:val="24"/>
        </w:rPr>
        <w:t xml:space="preserve">This study was conducted to assess the inheritance patterns of SDM resistance. </w:t>
      </w:r>
      <w:r>
        <w:rPr>
          <w:rFonts w:asciiTheme="majorBidi" w:hAnsiTheme="majorBidi" w:cstheme="majorBidi"/>
          <w:sz w:val="24"/>
          <w:szCs w:val="24"/>
          <w:lang w:bidi="en-US"/>
        </w:rPr>
        <w:t>Four</w:t>
      </w:r>
      <w:r w:rsidRPr="00E73F00">
        <w:rPr>
          <w:rFonts w:asciiTheme="majorBidi" w:hAnsiTheme="majorBidi" w:cstheme="majorBidi"/>
          <w:sz w:val="24"/>
          <w:szCs w:val="24"/>
          <w:lang w:bidi="en-US"/>
        </w:rPr>
        <w:t xml:space="preserve"> </w:t>
      </w:r>
      <w:r>
        <w:rPr>
          <w:rFonts w:asciiTheme="majorBidi" w:hAnsiTheme="majorBidi" w:cstheme="majorBidi"/>
          <w:sz w:val="24"/>
          <w:szCs w:val="24"/>
          <w:lang w:bidi="en-US"/>
        </w:rPr>
        <w:t>r</w:t>
      </w:r>
      <w:r w:rsidRPr="00E73F00">
        <w:rPr>
          <w:rFonts w:asciiTheme="majorBidi" w:hAnsiTheme="majorBidi" w:cstheme="majorBidi"/>
          <w:sz w:val="24"/>
          <w:szCs w:val="24"/>
          <w:lang w:bidi="en-US"/>
        </w:rPr>
        <w:t xml:space="preserve">esistant and </w:t>
      </w:r>
      <w:r>
        <w:rPr>
          <w:rFonts w:asciiTheme="majorBidi" w:hAnsiTheme="majorBidi" w:cstheme="majorBidi"/>
          <w:sz w:val="24"/>
          <w:szCs w:val="24"/>
          <w:lang w:bidi="en-US"/>
        </w:rPr>
        <w:t xml:space="preserve">five </w:t>
      </w:r>
      <w:r w:rsidRPr="00E73F00">
        <w:rPr>
          <w:rFonts w:asciiTheme="majorBidi" w:hAnsiTheme="majorBidi" w:cstheme="majorBidi"/>
          <w:sz w:val="24"/>
          <w:szCs w:val="24"/>
          <w:lang w:bidi="en-US"/>
        </w:rPr>
        <w:t xml:space="preserve">susceptible lines </w:t>
      </w:r>
      <w:r>
        <w:rPr>
          <w:rFonts w:asciiTheme="majorBidi" w:hAnsiTheme="majorBidi" w:cstheme="majorBidi"/>
          <w:sz w:val="24"/>
          <w:szCs w:val="24"/>
          <w:lang w:bidi="en-US"/>
        </w:rPr>
        <w:t xml:space="preserve">were crossed in </w:t>
      </w:r>
      <w:r w:rsidRPr="00E73F00">
        <w:rPr>
          <w:rFonts w:asciiTheme="majorBidi" w:hAnsiTheme="majorBidi" w:cstheme="majorBidi"/>
          <w:sz w:val="24"/>
          <w:szCs w:val="24"/>
          <w:lang w:bidi="en-US"/>
        </w:rPr>
        <w:t xml:space="preserve">North Carolina II </w:t>
      </w:r>
      <w:r>
        <w:rPr>
          <w:rFonts w:asciiTheme="majorBidi" w:hAnsiTheme="majorBidi" w:cstheme="majorBidi"/>
          <w:sz w:val="24"/>
          <w:szCs w:val="24"/>
          <w:lang w:bidi="en-US"/>
        </w:rPr>
        <w:t>mating d</w:t>
      </w:r>
      <w:r w:rsidRPr="00E73F00">
        <w:rPr>
          <w:rFonts w:asciiTheme="majorBidi" w:hAnsiTheme="majorBidi" w:cstheme="majorBidi"/>
          <w:sz w:val="24"/>
          <w:szCs w:val="24"/>
          <w:lang w:bidi="en-US"/>
        </w:rPr>
        <w:t>esign</w:t>
      </w:r>
      <w:r>
        <w:rPr>
          <w:rFonts w:asciiTheme="majorBidi" w:hAnsiTheme="majorBidi" w:cstheme="majorBidi"/>
          <w:sz w:val="24"/>
          <w:szCs w:val="24"/>
          <w:lang w:bidi="en-US"/>
        </w:rPr>
        <w:t xml:space="preserve">. The </w:t>
      </w:r>
      <w:r w:rsidRPr="00E73F00">
        <w:rPr>
          <w:rFonts w:asciiTheme="majorBidi" w:hAnsiTheme="majorBidi" w:cstheme="majorBidi"/>
          <w:sz w:val="24"/>
          <w:szCs w:val="24"/>
          <w:lang w:bidi="en-US"/>
        </w:rPr>
        <w:t xml:space="preserve">resultant F1 crosses </w:t>
      </w:r>
      <w:r>
        <w:rPr>
          <w:rFonts w:asciiTheme="majorBidi" w:hAnsiTheme="majorBidi" w:cstheme="majorBidi"/>
          <w:sz w:val="24"/>
          <w:szCs w:val="24"/>
          <w:lang w:bidi="en-US"/>
        </w:rPr>
        <w:t>and their parents</w:t>
      </w:r>
      <w:r w:rsidRPr="00E73F00">
        <w:rPr>
          <w:rFonts w:asciiTheme="majorBidi" w:hAnsiTheme="majorBidi" w:cstheme="majorBidi"/>
          <w:sz w:val="24"/>
          <w:szCs w:val="24"/>
          <w:lang w:bidi="en-US"/>
        </w:rPr>
        <w:t xml:space="preserve"> were field-evaluated for SDM resistance</w:t>
      </w:r>
      <w:r>
        <w:rPr>
          <w:rFonts w:asciiTheme="majorBidi" w:hAnsiTheme="majorBidi" w:cstheme="majorBidi"/>
          <w:sz w:val="24"/>
          <w:szCs w:val="24"/>
          <w:lang w:bidi="en-US"/>
        </w:rPr>
        <w:t xml:space="preserve"> at NaSARRI in Serere Eastern Uganda</w:t>
      </w:r>
      <w:r w:rsidRPr="00E73F00">
        <w:rPr>
          <w:rFonts w:asciiTheme="majorBidi" w:hAnsiTheme="majorBidi" w:cstheme="majorBidi"/>
          <w:sz w:val="24"/>
          <w:szCs w:val="24"/>
          <w:lang w:bidi="en-US"/>
        </w:rPr>
        <w:t>.</w:t>
      </w:r>
      <w:bookmarkStart w:id="0" w:name="_GoBack"/>
      <w:bookmarkEnd w:id="0"/>
      <w:r w:rsidRPr="00E73F00">
        <w:rPr>
          <w:rFonts w:asciiTheme="majorBidi" w:hAnsiTheme="majorBidi" w:cstheme="majorBidi"/>
          <w:sz w:val="24"/>
          <w:szCs w:val="24"/>
          <w:lang w:bidi="en-US"/>
        </w:rPr>
        <w:t xml:space="preserve"> The </w:t>
      </w:r>
      <w:r>
        <w:rPr>
          <w:rFonts w:asciiTheme="majorBidi" w:hAnsiTheme="majorBidi" w:cstheme="majorBidi"/>
          <w:sz w:val="24"/>
          <w:szCs w:val="24"/>
          <w:lang w:bidi="en-US"/>
        </w:rPr>
        <w:t>treatments</w:t>
      </w:r>
      <w:r w:rsidRPr="00E73F00">
        <w:rPr>
          <w:rFonts w:asciiTheme="majorBidi" w:hAnsiTheme="majorBidi" w:cstheme="majorBidi"/>
          <w:sz w:val="24"/>
          <w:szCs w:val="24"/>
          <w:lang w:bidi="en-US"/>
        </w:rPr>
        <w:t xml:space="preserve"> w</w:t>
      </w:r>
      <w:r>
        <w:rPr>
          <w:rFonts w:asciiTheme="majorBidi" w:hAnsiTheme="majorBidi" w:cstheme="majorBidi"/>
          <w:sz w:val="24"/>
          <w:szCs w:val="24"/>
          <w:lang w:bidi="en-US"/>
        </w:rPr>
        <w:t>ere</w:t>
      </w:r>
      <w:r w:rsidRPr="00E73F00">
        <w:rPr>
          <w:rFonts w:asciiTheme="majorBidi" w:hAnsiTheme="majorBidi" w:cstheme="majorBidi"/>
          <w:sz w:val="24"/>
          <w:szCs w:val="24"/>
          <w:lang w:bidi="en-US"/>
        </w:rPr>
        <w:t xml:space="preserve"> </w:t>
      </w:r>
      <w:r>
        <w:rPr>
          <w:rFonts w:asciiTheme="majorBidi" w:hAnsiTheme="majorBidi" w:cstheme="majorBidi"/>
          <w:sz w:val="24"/>
          <w:szCs w:val="24"/>
          <w:lang w:bidi="en-US"/>
        </w:rPr>
        <w:t xml:space="preserve">planted </w:t>
      </w:r>
      <w:r w:rsidRPr="00E73F00">
        <w:rPr>
          <w:rFonts w:asciiTheme="majorBidi" w:hAnsiTheme="majorBidi" w:cstheme="majorBidi"/>
          <w:sz w:val="24"/>
          <w:szCs w:val="24"/>
          <w:lang w:bidi="en-US"/>
        </w:rPr>
        <w:t xml:space="preserve">in a randomized complete block design </w:t>
      </w:r>
      <w:r>
        <w:rPr>
          <w:rFonts w:asciiTheme="majorBidi" w:hAnsiTheme="majorBidi" w:cstheme="majorBidi"/>
          <w:sz w:val="24"/>
          <w:szCs w:val="24"/>
          <w:lang w:bidi="en-US"/>
        </w:rPr>
        <w:t xml:space="preserve">with </w:t>
      </w:r>
      <w:r w:rsidRPr="00E73F00">
        <w:rPr>
          <w:rFonts w:asciiTheme="majorBidi" w:hAnsiTheme="majorBidi" w:cstheme="majorBidi"/>
          <w:sz w:val="24"/>
          <w:szCs w:val="24"/>
          <w:lang w:bidi="en-US"/>
        </w:rPr>
        <w:t xml:space="preserve">three </w:t>
      </w:r>
      <w:r>
        <w:rPr>
          <w:rFonts w:asciiTheme="majorBidi" w:hAnsiTheme="majorBidi" w:cstheme="majorBidi"/>
          <w:sz w:val="24"/>
          <w:szCs w:val="24"/>
          <w:lang w:bidi="en-US"/>
        </w:rPr>
        <w:t>replications</w:t>
      </w:r>
      <w:r w:rsidRPr="00E73F00">
        <w:rPr>
          <w:rFonts w:asciiTheme="majorBidi" w:hAnsiTheme="majorBidi" w:cstheme="majorBidi"/>
          <w:sz w:val="24"/>
          <w:szCs w:val="24"/>
          <w:lang w:bidi="en-US"/>
        </w:rPr>
        <w:t xml:space="preserve">. </w:t>
      </w:r>
      <w:r>
        <w:rPr>
          <w:rFonts w:asciiTheme="majorBidi" w:hAnsiTheme="majorBidi" w:cstheme="majorBidi"/>
          <w:sz w:val="24"/>
          <w:szCs w:val="24"/>
          <w:lang w:bidi="en-US"/>
        </w:rPr>
        <w:t xml:space="preserve">Data collected on disease incidence and severity were subjected to analysis of variance. Results </w:t>
      </w:r>
      <w:r w:rsidRPr="00E73F00">
        <w:rPr>
          <w:rFonts w:asciiTheme="majorBidi" w:hAnsiTheme="majorBidi" w:cstheme="majorBidi"/>
          <w:sz w:val="24"/>
          <w:szCs w:val="24"/>
          <w:lang w:bidi="en-US"/>
        </w:rPr>
        <w:t xml:space="preserve">revealed significant (P &lt; 0.01) general combining ability </w:t>
      </w:r>
      <w:r>
        <w:rPr>
          <w:rFonts w:asciiTheme="majorBidi" w:hAnsiTheme="majorBidi" w:cstheme="majorBidi"/>
          <w:sz w:val="24"/>
          <w:szCs w:val="24"/>
          <w:lang w:bidi="en-US"/>
        </w:rPr>
        <w:t xml:space="preserve">effects </w:t>
      </w:r>
      <w:r w:rsidRPr="00E73F00">
        <w:rPr>
          <w:rFonts w:asciiTheme="majorBidi" w:hAnsiTheme="majorBidi" w:cstheme="majorBidi"/>
          <w:sz w:val="24"/>
          <w:szCs w:val="24"/>
          <w:lang w:bidi="en-US"/>
        </w:rPr>
        <w:t xml:space="preserve">among the male parents, </w:t>
      </w:r>
      <w:r w:rsidRPr="00E73F00">
        <w:rPr>
          <w:rFonts w:asciiTheme="majorBidi" w:hAnsiTheme="majorBidi" w:cstheme="majorBidi"/>
          <w:color w:val="000000"/>
          <w:sz w:val="24"/>
          <w:szCs w:val="24"/>
        </w:rPr>
        <w:t xml:space="preserve">while the general combining ability </w:t>
      </w:r>
      <w:r>
        <w:rPr>
          <w:rFonts w:asciiTheme="majorBidi" w:hAnsiTheme="majorBidi" w:cstheme="majorBidi"/>
          <w:color w:val="000000"/>
          <w:sz w:val="24"/>
          <w:szCs w:val="24"/>
        </w:rPr>
        <w:t>effects</w:t>
      </w:r>
      <w:r w:rsidRPr="00E73F00">
        <w:rPr>
          <w:rFonts w:asciiTheme="majorBidi" w:hAnsiTheme="majorBidi" w:cstheme="majorBidi"/>
          <w:color w:val="000000"/>
          <w:sz w:val="24"/>
          <w:szCs w:val="24"/>
        </w:rPr>
        <w:t xml:space="preserve"> among the female parents and the specific combining ability </w:t>
      </w:r>
      <w:r>
        <w:rPr>
          <w:rFonts w:asciiTheme="majorBidi" w:hAnsiTheme="majorBidi" w:cstheme="majorBidi"/>
          <w:color w:val="000000"/>
          <w:sz w:val="24"/>
          <w:szCs w:val="24"/>
        </w:rPr>
        <w:t>effects</w:t>
      </w:r>
      <w:r w:rsidRPr="00E73F00">
        <w:rPr>
          <w:rFonts w:asciiTheme="majorBidi" w:hAnsiTheme="majorBidi" w:cstheme="majorBidi"/>
          <w:color w:val="000000"/>
          <w:sz w:val="24"/>
          <w:szCs w:val="24"/>
        </w:rPr>
        <w:t xml:space="preserve"> were not significant</w:t>
      </w:r>
      <w:r w:rsidRPr="00E73F00">
        <w:rPr>
          <w:rFonts w:asciiTheme="majorBidi" w:hAnsiTheme="majorBidi" w:cstheme="majorBidi"/>
          <w:sz w:val="24"/>
          <w:szCs w:val="24"/>
        </w:rPr>
        <w:t xml:space="preserve"> suggesting that additive gene action is predominant in controlling resistance to SDM in the progeny evaluated. The Bakers Ratio value was higher than 0.5 (0.57 and 0.65) for SDM incidence and severity</w:t>
      </w:r>
      <w:r>
        <w:rPr>
          <w:rFonts w:asciiTheme="majorBidi" w:hAnsiTheme="majorBidi" w:cstheme="majorBidi"/>
          <w:sz w:val="24"/>
          <w:szCs w:val="24"/>
        </w:rPr>
        <w:t>,</w:t>
      </w:r>
      <w:r w:rsidRPr="00E73F00">
        <w:rPr>
          <w:rFonts w:asciiTheme="majorBidi" w:hAnsiTheme="majorBidi" w:cstheme="majorBidi"/>
          <w:sz w:val="24"/>
          <w:szCs w:val="24"/>
        </w:rPr>
        <w:t xml:space="preserve"> respectively indicat</w:t>
      </w:r>
      <w:r>
        <w:rPr>
          <w:rFonts w:asciiTheme="majorBidi" w:hAnsiTheme="majorBidi" w:cstheme="majorBidi"/>
          <w:sz w:val="24"/>
          <w:szCs w:val="24"/>
        </w:rPr>
        <w:t>ing</w:t>
      </w:r>
      <w:r w:rsidRPr="00E73F00">
        <w:rPr>
          <w:rFonts w:asciiTheme="majorBidi" w:hAnsiTheme="majorBidi" w:cstheme="majorBidi"/>
          <w:sz w:val="24"/>
          <w:szCs w:val="24"/>
        </w:rPr>
        <w:t xml:space="preserve"> that additive gene effects had a greater effect on</w:t>
      </w:r>
      <w:r>
        <w:rPr>
          <w:rFonts w:asciiTheme="majorBidi" w:hAnsiTheme="majorBidi" w:cstheme="majorBidi"/>
          <w:sz w:val="24"/>
          <w:szCs w:val="24"/>
        </w:rPr>
        <w:t xml:space="preserve"> the inheritance of SDM resistance</w:t>
      </w:r>
      <w:r w:rsidRPr="00E73F00">
        <w:rPr>
          <w:rFonts w:asciiTheme="majorBidi" w:hAnsiTheme="majorBidi" w:cstheme="majorBidi"/>
          <w:sz w:val="24"/>
          <w:szCs w:val="24"/>
        </w:rPr>
        <w:t xml:space="preserve"> than the non-additive gene effect. The narrow-sense heritability was low </w:t>
      </w:r>
      <w:r>
        <w:rPr>
          <w:rFonts w:asciiTheme="majorBidi" w:hAnsiTheme="majorBidi" w:cstheme="majorBidi"/>
          <w:sz w:val="24"/>
          <w:szCs w:val="24"/>
        </w:rPr>
        <w:t xml:space="preserve">for </w:t>
      </w:r>
      <w:r w:rsidRPr="00E73F00">
        <w:rPr>
          <w:rFonts w:asciiTheme="majorBidi" w:hAnsiTheme="majorBidi" w:cstheme="majorBidi"/>
          <w:sz w:val="24"/>
          <w:szCs w:val="24"/>
        </w:rPr>
        <w:t>SDM incidence and severity (0.22 and .029</w:t>
      </w:r>
      <w:r>
        <w:rPr>
          <w:rFonts w:asciiTheme="majorBidi" w:hAnsiTheme="majorBidi" w:cstheme="majorBidi"/>
          <w:sz w:val="24"/>
          <w:szCs w:val="24"/>
        </w:rPr>
        <w:t>, respectively</w:t>
      </w:r>
      <w:r w:rsidRPr="00E73F00">
        <w:rPr>
          <w:rFonts w:asciiTheme="majorBidi" w:hAnsiTheme="majorBidi" w:cstheme="majorBidi"/>
          <w:sz w:val="24"/>
          <w:szCs w:val="24"/>
        </w:rPr>
        <w:t xml:space="preserve">) </w:t>
      </w:r>
      <w:r>
        <w:rPr>
          <w:rFonts w:asciiTheme="majorBidi" w:hAnsiTheme="majorBidi" w:cstheme="majorBidi"/>
          <w:sz w:val="24"/>
          <w:szCs w:val="24"/>
        </w:rPr>
        <w:t xml:space="preserve">suggesting </w:t>
      </w:r>
      <w:r w:rsidRPr="00E73F00">
        <w:rPr>
          <w:rFonts w:asciiTheme="majorBidi" w:hAnsiTheme="majorBidi" w:cstheme="majorBidi"/>
          <w:sz w:val="24"/>
          <w:szCs w:val="24"/>
        </w:rPr>
        <w:t>that</w:t>
      </w:r>
      <w:r>
        <w:rPr>
          <w:rFonts w:asciiTheme="majorBidi" w:hAnsiTheme="majorBidi" w:cstheme="majorBidi"/>
          <w:sz w:val="24"/>
          <w:szCs w:val="24"/>
        </w:rPr>
        <w:t xml:space="preserve"> selection would be more beneficial if carried out in later generation testing.</w:t>
      </w:r>
      <w:r w:rsidRPr="00E73F00">
        <w:rPr>
          <w:rFonts w:asciiTheme="majorBidi" w:hAnsiTheme="majorBidi" w:cstheme="majorBidi"/>
          <w:sz w:val="24"/>
          <w:szCs w:val="24"/>
        </w:rPr>
        <w:t xml:space="preserve"> </w:t>
      </w:r>
      <w:r w:rsidRPr="00E73F00">
        <w:rPr>
          <w:rFonts w:asciiTheme="majorBidi" w:hAnsiTheme="majorBidi" w:cstheme="majorBidi"/>
          <w:sz w:val="24"/>
          <w:szCs w:val="24"/>
          <w:lang w:bidi="en-US"/>
        </w:rPr>
        <w:t>Knowledge on heritability and nature of gene action identified in this study can be used to develop appropriate breeding strategies for sorghum improvement.</w:t>
      </w:r>
      <w:r>
        <w:rPr>
          <w:rFonts w:asciiTheme="majorBidi" w:hAnsiTheme="majorBidi" w:cstheme="majorBidi"/>
          <w:sz w:val="24"/>
          <w:szCs w:val="24"/>
          <w:lang w:bidi="en-US"/>
        </w:rPr>
        <w:t xml:space="preserve"> As a result therefore </w:t>
      </w:r>
      <w:r w:rsidRPr="005E4B16">
        <w:rPr>
          <w:rFonts w:ascii="Times New Roman" w:hAnsi="Times New Roman"/>
          <w:sz w:val="24"/>
          <w:szCs w:val="24"/>
        </w:rPr>
        <w:t>genotypes PO-11</w:t>
      </w:r>
      <w:r>
        <w:rPr>
          <w:rFonts w:ascii="Times New Roman" w:hAnsi="Times New Roman"/>
          <w:sz w:val="24"/>
          <w:szCs w:val="24"/>
        </w:rPr>
        <w:t xml:space="preserve"> </w:t>
      </w:r>
      <w:r w:rsidRPr="005E4B16">
        <w:rPr>
          <w:rFonts w:ascii="Times New Roman" w:hAnsi="Times New Roman"/>
          <w:sz w:val="24"/>
          <w:szCs w:val="24"/>
        </w:rPr>
        <w:t>and PO-1 that displayed negative GCA effects have desirable qualities and should be considered for incorporation into the breeding program.</w:t>
      </w:r>
    </w:p>
    <w:p w:rsidR="003636B4" w:rsidRPr="00E73F00" w:rsidRDefault="003636B4" w:rsidP="003636B4">
      <w:pPr>
        <w:spacing w:after="0"/>
        <w:jc w:val="both"/>
        <w:rPr>
          <w:rFonts w:asciiTheme="majorBidi" w:hAnsiTheme="majorBidi" w:cstheme="majorBidi"/>
          <w:sz w:val="24"/>
          <w:szCs w:val="24"/>
        </w:rPr>
      </w:pPr>
    </w:p>
    <w:p w:rsidR="003636B4" w:rsidRPr="00E73F00" w:rsidRDefault="003636B4" w:rsidP="003636B4">
      <w:pPr>
        <w:tabs>
          <w:tab w:val="left" w:pos="5505"/>
        </w:tabs>
        <w:spacing w:line="276" w:lineRule="auto"/>
        <w:rPr>
          <w:rFonts w:asciiTheme="majorBidi" w:hAnsiTheme="majorBidi" w:cstheme="majorBidi"/>
          <w:sz w:val="24"/>
          <w:szCs w:val="24"/>
          <w:lang w:bidi="en-US"/>
        </w:rPr>
      </w:pPr>
      <w:r w:rsidRPr="00E73F00">
        <w:rPr>
          <w:rFonts w:asciiTheme="majorBidi" w:hAnsiTheme="majorBidi" w:cstheme="majorBidi"/>
          <w:b/>
          <w:sz w:val="24"/>
          <w:szCs w:val="24"/>
          <w:lang w:bidi="en-US"/>
        </w:rPr>
        <w:t xml:space="preserve">Key words: </w:t>
      </w:r>
      <w:r>
        <w:rPr>
          <w:rFonts w:asciiTheme="majorBidi" w:hAnsiTheme="majorBidi" w:cstheme="majorBidi"/>
          <w:sz w:val="24"/>
          <w:szCs w:val="24"/>
          <w:lang w:bidi="en-US"/>
        </w:rPr>
        <w:t>C</w:t>
      </w:r>
      <w:r w:rsidRPr="00E73F00">
        <w:rPr>
          <w:rFonts w:asciiTheme="majorBidi" w:hAnsiTheme="majorBidi" w:cstheme="majorBidi"/>
          <w:sz w:val="24"/>
          <w:szCs w:val="24"/>
          <w:lang w:bidi="en-US"/>
        </w:rPr>
        <w:t xml:space="preserve">ombining ability, </w:t>
      </w:r>
      <w:r>
        <w:rPr>
          <w:rFonts w:asciiTheme="majorBidi" w:hAnsiTheme="majorBidi" w:cstheme="majorBidi"/>
          <w:sz w:val="24"/>
          <w:szCs w:val="24"/>
          <w:lang w:bidi="en-US"/>
        </w:rPr>
        <w:t>g</w:t>
      </w:r>
      <w:r w:rsidRPr="00E73F00">
        <w:rPr>
          <w:rFonts w:asciiTheme="majorBidi" w:hAnsiTheme="majorBidi" w:cstheme="majorBidi"/>
          <w:sz w:val="24"/>
          <w:szCs w:val="24"/>
          <w:lang w:bidi="en-US"/>
        </w:rPr>
        <w:t xml:space="preserve">ene action, </w:t>
      </w:r>
      <w:r>
        <w:rPr>
          <w:rFonts w:asciiTheme="majorBidi" w:hAnsiTheme="majorBidi" w:cstheme="majorBidi"/>
          <w:sz w:val="24"/>
          <w:szCs w:val="24"/>
          <w:lang w:bidi="en-US"/>
        </w:rPr>
        <w:t>h</w:t>
      </w:r>
      <w:r w:rsidRPr="00E73F00">
        <w:rPr>
          <w:rFonts w:asciiTheme="majorBidi" w:hAnsiTheme="majorBidi" w:cstheme="majorBidi"/>
          <w:sz w:val="24"/>
          <w:szCs w:val="24"/>
          <w:lang w:bidi="en-US"/>
        </w:rPr>
        <w:t>eritability</w:t>
      </w:r>
      <w:r w:rsidRPr="00E73F00">
        <w:rPr>
          <w:rFonts w:asciiTheme="majorBidi" w:hAnsiTheme="majorBidi" w:cstheme="majorBidi"/>
          <w:i/>
          <w:iCs/>
          <w:sz w:val="24"/>
          <w:szCs w:val="24"/>
          <w:lang w:bidi="en-US"/>
        </w:rPr>
        <w:t>, Peronosclerospora sorghi,</w:t>
      </w:r>
      <w:r>
        <w:rPr>
          <w:rFonts w:asciiTheme="majorBidi" w:hAnsiTheme="majorBidi" w:cstheme="majorBidi"/>
          <w:i/>
          <w:iCs/>
          <w:sz w:val="24"/>
          <w:szCs w:val="24"/>
          <w:lang w:bidi="en-US"/>
        </w:rPr>
        <w:t xml:space="preserve"> </w:t>
      </w:r>
      <w:r>
        <w:rPr>
          <w:rFonts w:asciiTheme="majorBidi" w:hAnsiTheme="majorBidi" w:cstheme="majorBidi"/>
          <w:sz w:val="24"/>
          <w:szCs w:val="24"/>
          <w:lang w:bidi="en-US"/>
        </w:rPr>
        <w:t>r</w:t>
      </w:r>
      <w:r w:rsidRPr="00E73F00">
        <w:rPr>
          <w:rFonts w:asciiTheme="majorBidi" w:hAnsiTheme="majorBidi" w:cstheme="majorBidi"/>
          <w:sz w:val="24"/>
          <w:szCs w:val="24"/>
          <w:lang w:bidi="en-US"/>
        </w:rPr>
        <w:t>esistance.</w:t>
      </w:r>
    </w:p>
    <w:p w:rsidR="003636B4" w:rsidRPr="00E73F00" w:rsidRDefault="003636B4" w:rsidP="003636B4">
      <w:pPr>
        <w:tabs>
          <w:tab w:val="left" w:pos="5505"/>
        </w:tabs>
        <w:spacing w:line="276" w:lineRule="auto"/>
        <w:rPr>
          <w:rFonts w:asciiTheme="majorBidi" w:hAnsiTheme="majorBidi" w:cstheme="majorBidi"/>
          <w:sz w:val="24"/>
          <w:szCs w:val="24"/>
          <w:lang w:bidi="en-US"/>
        </w:rPr>
      </w:pPr>
    </w:p>
    <w:p w:rsidR="003636B4" w:rsidRPr="00E73F00" w:rsidRDefault="003636B4" w:rsidP="003636B4">
      <w:pPr>
        <w:tabs>
          <w:tab w:val="left" w:pos="5505"/>
        </w:tabs>
        <w:spacing w:line="276" w:lineRule="auto"/>
        <w:rPr>
          <w:rFonts w:asciiTheme="majorBidi" w:hAnsiTheme="majorBidi" w:cstheme="majorBidi"/>
          <w:b/>
          <w:sz w:val="24"/>
          <w:szCs w:val="24"/>
          <w:lang w:bidi="en-US"/>
        </w:rPr>
      </w:pPr>
    </w:p>
    <w:p w:rsidR="003636B4" w:rsidRPr="00E73F00" w:rsidRDefault="003636B4" w:rsidP="003636B4">
      <w:pPr>
        <w:rPr>
          <w:rFonts w:asciiTheme="majorBidi" w:hAnsiTheme="majorBidi" w:cstheme="majorBidi"/>
        </w:rPr>
      </w:pPr>
    </w:p>
    <w:p w:rsidR="003636B4" w:rsidRPr="00E73F00" w:rsidRDefault="003636B4" w:rsidP="003636B4">
      <w:pPr>
        <w:pStyle w:val="Heading2"/>
        <w:spacing w:after="120"/>
        <w:jc w:val="both"/>
        <w:rPr>
          <w:rFonts w:asciiTheme="majorBidi" w:hAnsiTheme="majorBidi"/>
          <w:b/>
          <w:bCs/>
          <w:color w:val="auto"/>
        </w:rPr>
      </w:pPr>
    </w:p>
    <w:p w:rsidR="003636B4" w:rsidRPr="00E73F00" w:rsidRDefault="003636B4" w:rsidP="003636B4">
      <w:pPr>
        <w:rPr>
          <w:rFonts w:asciiTheme="majorBidi" w:hAnsiTheme="majorBidi" w:cstheme="majorBidi"/>
          <w:lang w:val="en-GB"/>
        </w:rPr>
      </w:pPr>
    </w:p>
    <w:p w:rsidR="00BD7BB6" w:rsidRDefault="003636B4"/>
    <w:sectPr w:rsidR="00BD7B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B4"/>
    <w:rsid w:val="00275C29"/>
    <w:rsid w:val="003636B4"/>
    <w:rsid w:val="007227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AC0BE-21F1-4D48-AF76-C6E3FEBA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6B4"/>
    <w:pPr>
      <w:spacing w:after="160" w:line="259" w:lineRule="auto"/>
    </w:pPr>
    <w:rPr>
      <w:rFonts w:ascii="Calibri" w:eastAsia="Calibri" w:hAnsi="Calibri" w:cs="Times New Roman"/>
      <w:lang w:val="en-US"/>
    </w:rPr>
  </w:style>
  <w:style w:type="paragraph" w:styleId="Heading2">
    <w:name w:val="heading 2"/>
    <w:basedOn w:val="Normal"/>
    <w:next w:val="Normal"/>
    <w:link w:val="Heading2Char"/>
    <w:uiPriority w:val="9"/>
    <w:unhideWhenUsed/>
    <w:qFormat/>
    <w:rsid w:val="003636B4"/>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36B4"/>
    <w:rPr>
      <w:rFonts w:asciiTheme="majorHAnsi" w:eastAsiaTheme="majorEastAsia" w:hAnsiTheme="majorHAnsi" w:cstheme="majorBidi"/>
      <w:color w:val="365F91" w:themeColor="accent1" w:themeShade="BF"/>
      <w:sz w:val="26"/>
      <w:szCs w:val="26"/>
    </w:rPr>
  </w:style>
  <w:style w:type="character" w:styleId="Hyperlink">
    <w:name w:val="Hyperlink"/>
    <w:uiPriority w:val="99"/>
    <w:unhideWhenUsed/>
    <w:rsid w:val="003636B4"/>
    <w:rPr>
      <w:color w:val="0563C1"/>
      <w:u w:val="single"/>
    </w:rPr>
  </w:style>
  <w:style w:type="paragraph" w:styleId="ListParagraph">
    <w:name w:val="List Paragraph"/>
    <w:basedOn w:val="Normal"/>
    <w:uiPriority w:val="34"/>
    <w:qFormat/>
    <w:rsid w:val="003636B4"/>
    <w:pPr>
      <w:spacing w:before="120" w:after="120" w:line="360" w:lineRule="auto"/>
      <w:ind w:left="720"/>
      <w:contextualSpacing/>
      <w:jc w:val="both"/>
    </w:pPr>
    <w:rPr>
      <w:rFonts w:asciiTheme="minorHAnsi" w:eastAsiaTheme="minorHAnsi" w:hAnsiTheme="minorHAnsi" w:cstheme="minorBidi"/>
      <w:lang w:val="en-GB"/>
    </w:rPr>
  </w:style>
  <w:style w:type="character" w:styleId="CommentReference">
    <w:name w:val="annotation reference"/>
    <w:basedOn w:val="DefaultParagraphFont"/>
    <w:uiPriority w:val="99"/>
    <w:semiHidden/>
    <w:unhideWhenUsed/>
    <w:rsid w:val="003636B4"/>
    <w:rPr>
      <w:sz w:val="16"/>
      <w:szCs w:val="16"/>
    </w:rPr>
  </w:style>
  <w:style w:type="paragraph" w:styleId="CommentText">
    <w:name w:val="annotation text"/>
    <w:basedOn w:val="Normal"/>
    <w:link w:val="CommentTextChar"/>
    <w:uiPriority w:val="99"/>
    <w:semiHidden/>
    <w:unhideWhenUsed/>
    <w:rsid w:val="003636B4"/>
    <w:pPr>
      <w:spacing w:line="240" w:lineRule="auto"/>
    </w:pPr>
    <w:rPr>
      <w:sz w:val="20"/>
      <w:szCs w:val="20"/>
    </w:rPr>
  </w:style>
  <w:style w:type="character" w:customStyle="1" w:styleId="CommentTextChar">
    <w:name w:val="Comment Text Char"/>
    <w:basedOn w:val="DefaultParagraphFont"/>
    <w:link w:val="CommentText"/>
    <w:uiPriority w:val="99"/>
    <w:semiHidden/>
    <w:rsid w:val="003636B4"/>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3636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6B4"/>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ggyodong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Odongo</dc:creator>
  <cp:keywords/>
  <dc:description/>
  <cp:lastModifiedBy>Peggy Odongo</cp:lastModifiedBy>
  <cp:revision>1</cp:revision>
  <dcterms:created xsi:type="dcterms:W3CDTF">2018-01-11T19:45:00Z</dcterms:created>
  <dcterms:modified xsi:type="dcterms:W3CDTF">2018-01-11T19:47:00Z</dcterms:modified>
</cp:coreProperties>
</file>