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B7B" w:rsidRPr="00E15B7B" w:rsidRDefault="00E15B7B" w:rsidP="00E15B7B">
      <w:pPr>
        <w:widowControl w:val="0"/>
        <w:spacing w:after="0" w:line="480" w:lineRule="auto"/>
        <w:jc w:val="center"/>
        <w:rPr>
          <w:rFonts w:ascii="Times New Roman" w:eastAsia="SimSun" w:hAnsi="Times New Roman" w:cs="Times New Roman"/>
          <w:b/>
          <w:kern w:val="2"/>
          <w:sz w:val="24"/>
          <w:szCs w:val="24"/>
          <w:lang w:eastAsia="zh-CN"/>
        </w:rPr>
      </w:pPr>
      <w:r w:rsidRPr="002B54FA">
        <w:rPr>
          <w:rFonts w:ascii="Times New Roman" w:eastAsia="SimSun" w:hAnsi="Times New Roman" w:cs="Times New Roman"/>
          <w:b/>
          <w:bCs/>
          <w:kern w:val="2"/>
          <w:sz w:val="24"/>
          <w:szCs w:val="24"/>
          <w:lang w:eastAsia="zh-CN"/>
        </w:rPr>
        <w:t>FACTORS ASSOCIATED WITH HEALTH RELATED QUALITY OF LIFE AMONG HYPERTENSIVE PATIENTS IN FEDERAL MEDICAL CENTRE OWERRI IMO STATE, NIGERIA.</w:t>
      </w:r>
    </w:p>
    <w:p w:rsidR="00D26F88" w:rsidRPr="00D26F88" w:rsidRDefault="00D26F88" w:rsidP="00D26F88">
      <w:pPr>
        <w:spacing w:line="480" w:lineRule="auto"/>
        <w:rPr>
          <w:rFonts w:ascii="Times New Roman" w:hAnsi="Times New Roman" w:cs="Times New Roman"/>
          <w:sz w:val="24"/>
          <w:szCs w:val="24"/>
        </w:rPr>
      </w:pPr>
      <w:r w:rsidRPr="00D26F88">
        <w:rPr>
          <w:rFonts w:ascii="Times New Roman" w:hAnsi="Times New Roman" w:cs="Times New Roman"/>
          <w:b/>
          <w:sz w:val="24"/>
          <w:szCs w:val="24"/>
        </w:rPr>
        <w:t>Background</w:t>
      </w:r>
      <w:r w:rsidRPr="00D26F88">
        <w:rPr>
          <w:rFonts w:ascii="Times New Roman" w:hAnsi="Times New Roman" w:cs="Times New Roman"/>
          <w:sz w:val="24"/>
          <w:szCs w:val="24"/>
        </w:rPr>
        <w:t>: This study was conducted to determine which factors (clinical and demographic) are associated with mental and physical health-related quality of life (HRQOL) among people with multiple sclerosis (MS) aged 60 years and older</w:t>
      </w:r>
      <w:r w:rsidR="00011712">
        <w:rPr>
          <w:rFonts w:ascii="Times New Roman" w:hAnsi="Times New Roman" w:cs="Times New Roman"/>
          <w:sz w:val="24"/>
          <w:szCs w:val="24"/>
        </w:rPr>
        <w:t xml:space="preserve"> in Federal Medical Center Owerri, Imo State, Nigeria</w:t>
      </w:r>
      <w:r w:rsidRPr="00D26F88">
        <w:rPr>
          <w:rFonts w:ascii="Times New Roman" w:hAnsi="Times New Roman" w:cs="Times New Roman"/>
          <w:sz w:val="24"/>
          <w:szCs w:val="24"/>
        </w:rPr>
        <w:t xml:space="preserve">. </w:t>
      </w:r>
    </w:p>
    <w:p w:rsidR="00D26F88" w:rsidRDefault="00D26F88" w:rsidP="00D26F88">
      <w:pPr>
        <w:spacing w:line="480" w:lineRule="auto"/>
        <w:rPr>
          <w:rFonts w:ascii="Times New Roman" w:hAnsi="Times New Roman" w:cs="Times New Roman"/>
          <w:sz w:val="24"/>
          <w:szCs w:val="24"/>
        </w:rPr>
      </w:pPr>
      <w:r w:rsidRPr="00D26F88">
        <w:rPr>
          <w:rFonts w:ascii="Times New Roman" w:hAnsi="Times New Roman" w:cs="Times New Roman"/>
          <w:b/>
          <w:sz w:val="24"/>
          <w:szCs w:val="24"/>
        </w:rPr>
        <w:t>Methods:</w:t>
      </w:r>
      <w:r w:rsidRPr="00D26F88">
        <w:rPr>
          <w:rFonts w:ascii="Times New Roman" w:hAnsi="Times New Roman" w:cs="Times New Roman"/>
          <w:sz w:val="24"/>
          <w:szCs w:val="24"/>
        </w:rPr>
        <w:t xml:space="preserve"> Data were collected at </w:t>
      </w:r>
      <w:r w:rsidR="00011712" w:rsidRPr="00011712">
        <w:rPr>
          <w:rFonts w:ascii="Times New Roman" w:hAnsi="Times New Roman" w:cs="Times New Roman"/>
          <w:sz w:val="24"/>
          <w:szCs w:val="24"/>
        </w:rPr>
        <w:t>Federal Medical Center Owerri, Imo State, Nigeri</w:t>
      </w:r>
      <w:r w:rsidR="00011712">
        <w:rPr>
          <w:rFonts w:ascii="Times New Roman" w:hAnsi="Times New Roman" w:cs="Times New Roman"/>
          <w:sz w:val="24"/>
          <w:szCs w:val="24"/>
        </w:rPr>
        <w:t>a</w:t>
      </w:r>
      <w:r w:rsidRPr="00D26F88">
        <w:rPr>
          <w:rFonts w:ascii="Times New Roman" w:hAnsi="Times New Roman" w:cs="Times New Roman"/>
          <w:sz w:val="24"/>
          <w:szCs w:val="24"/>
        </w:rPr>
        <w:t xml:space="preserve">, from a total of </w:t>
      </w:r>
      <w:r w:rsidR="00011712">
        <w:rPr>
          <w:rFonts w:ascii="Times New Roman" w:hAnsi="Times New Roman" w:cs="Times New Roman"/>
          <w:sz w:val="24"/>
          <w:szCs w:val="24"/>
        </w:rPr>
        <w:t>280</w:t>
      </w:r>
      <w:r w:rsidRPr="00D26F88">
        <w:rPr>
          <w:rFonts w:ascii="Times New Roman" w:hAnsi="Times New Roman" w:cs="Times New Roman"/>
          <w:sz w:val="24"/>
          <w:szCs w:val="24"/>
        </w:rPr>
        <w:t xml:space="preserve"> patients. Three surveys were administered that collected demographic information and included validated questionnaires measuring quality of life (QOL), cognition, depression, and disability. Multivariate linear regression analyses examined the relationship between patient demographics and scores on standardized scales measuring mental and physical HRQOL (Multiple Sclerosis Quality of Life–54). Variables included in the regression models were selected on the basis of the Andersen Healthcare Utilization model. This framework encompasses the multiple influences on health status, including predisposing characteristics, enabling resources, need, and health behavior. </w:t>
      </w:r>
    </w:p>
    <w:p w:rsidR="00011712" w:rsidRDefault="00D26F88" w:rsidP="00D26F88">
      <w:pPr>
        <w:spacing w:line="480" w:lineRule="auto"/>
        <w:rPr>
          <w:rFonts w:ascii="Times New Roman" w:hAnsi="Times New Roman" w:cs="Times New Roman"/>
          <w:sz w:val="24"/>
          <w:szCs w:val="24"/>
        </w:rPr>
      </w:pPr>
      <w:r w:rsidRPr="00D26F88">
        <w:rPr>
          <w:rFonts w:ascii="Times New Roman" w:hAnsi="Times New Roman" w:cs="Times New Roman"/>
          <w:b/>
          <w:sz w:val="24"/>
          <w:szCs w:val="24"/>
        </w:rPr>
        <w:t>Results:</w:t>
      </w:r>
      <w:r w:rsidRPr="00D26F88">
        <w:rPr>
          <w:rFonts w:ascii="Times New Roman" w:hAnsi="Times New Roman" w:cs="Times New Roman"/>
          <w:sz w:val="24"/>
          <w:szCs w:val="24"/>
        </w:rPr>
        <w:t xml:space="preserve"> We found that mental HRQOL was negatively associated with having a high school education or less, risk of neurologic impairment, physical disability, and depression. No variables were positively associated with mental HRQOL. Physical HRQOL was negatively associated with risk of neurologic impairment, physical disability, depression, and the comorbidity of thyroid disease. However, patient employment and, surprisingly, being widowed were positively associated with physical HRQOL. These findings are consistent with those of </w:t>
      </w:r>
      <w:r w:rsidRPr="00D26F88">
        <w:rPr>
          <w:rFonts w:ascii="Times New Roman" w:hAnsi="Times New Roman" w:cs="Times New Roman"/>
          <w:sz w:val="24"/>
          <w:szCs w:val="24"/>
        </w:rPr>
        <w:lastRenderedPageBreak/>
        <w:t xml:space="preserve">similar studies among younger patients in which lower HRQOL was associated with increased disability, depression, risk of neurologic impairment, and lower levels of education. </w:t>
      </w:r>
    </w:p>
    <w:p w:rsidR="00D26F88" w:rsidRPr="00D26F88" w:rsidRDefault="00D26F88" w:rsidP="00D26F88">
      <w:pPr>
        <w:spacing w:line="480" w:lineRule="auto"/>
        <w:rPr>
          <w:rFonts w:ascii="Times New Roman" w:hAnsi="Times New Roman" w:cs="Times New Roman"/>
          <w:sz w:val="24"/>
          <w:szCs w:val="24"/>
        </w:rPr>
      </w:pPr>
      <w:r w:rsidRPr="00011712">
        <w:rPr>
          <w:rFonts w:ascii="Times New Roman" w:hAnsi="Times New Roman" w:cs="Times New Roman"/>
          <w:b/>
          <w:sz w:val="24"/>
          <w:szCs w:val="24"/>
        </w:rPr>
        <w:t>Conclusions:</w:t>
      </w:r>
      <w:r w:rsidRPr="00D26F88">
        <w:rPr>
          <w:rFonts w:ascii="Times New Roman" w:hAnsi="Times New Roman" w:cs="Times New Roman"/>
          <w:sz w:val="24"/>
          <w:szCs w:val="24"/>
        </w:rPr>
        <w:t xml:space="preserve"> The findings that patient employment and being widowed were associated with better physical HRQOL suggest that older patients have the ability to adapt and adjust to the challenges of MS over time. Clinicians should regularly scr</w:t>
      </w:r>
      <w:r w:rsidR="002721B0">
        <w:rPr>
          <w:rFonts w:ascii="Times New Roman" w:hAnsi="Times New Roman" w:cs="Times New Roman"/>
          <w:sz w:val="24"/>
          <w:szCs w:val="24"/>
        </w:rPr>
        <w:t>een for HRQOL in older patients.</w:t>
      </w:r>
      <w:bookmarkStart w:id="0" w:name="_GoBack"/>
      <w:bookmarkEnd w:id="0"/>
    </w:p>
    <w:sectPr w:rsidR="00D26F88" w:rsidRPr="00D26F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F88"/>
    <w:rsid w:val="00011712"/>
    <w:rsid w:val="002637D1"/>
    <w:rsid w:val="002721B0"/>
    <w:rsid w:val="00840409"/>
    <w:rsid w:val="00D26F88"/>
    <w:rsid w:val="00E15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2017-06-10T08:20:00Z</dcterms:created>
  <dcterms:modified xsi:type="dcterms:W3CDTF">2017-06-10T08:29:00Z</dcterms:modified>
</cp:coreProperties>
</file>