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28"/>
          <w:szCs w:val="28"/>
        </w:rPr>
      </w:pPr>
      <w:r>
        <w:rPr>
          <w:rFonts w:ascii="ï'71Uˇ" w:hAnsi="ï'71Uˇ" w:cs="ï'71Uˇ"/>
          <w:sz w:val="28"/>
          <w:szCs w:val="28"/>
        </w:rPr>
        <w:t xml:space="preserve">The </w:t>
      </w:r>
      <w:proofErr w:type="spellStart"/>
      <w:r>
        <w:rPr>
          <w:rFonts w:ascii="ï'71Uˇ" w:hAnsi="ï'71Uˇ" w:cs="ï'71Uˇ"/>
          <w:sz w:val="28"/>
          <w:szCs w:val="28"/>
        </w:rPr>
        <w:t>Cardioprotection</w:t>
      </w:r>
      <w:proofErr w:type="spellEnd"/>
      <w:r>
        <w:rPr>
          <w:rFonts w:ascii="ï'71Uˇ" w:hAnsi="ï'71Uˇ" w:cs="ï'71Uˇ"/>
          <w:sz w:val="28"/>
          <w:szCs w:val="28"/>
        </w:rPr>
        <w:t xml:space="preserve"> of Silymarin in</w:t>
      </w:r>
      <w:r>
        <w:rPr>
          <w:rFonts w:ascii="ï'71Uˇ" w:hAnsi="ï'71Uˇ" w:cs="ï'71Uˇ"/>
          <w:sz w:val="28"/>
          <w:szCs w:val="28"/>
        </w:rPr>
        <w:t xml:space="preserve"> </w:t>
      </w:r>
      <w:r>
        <w:rPr>
          <w:rFonts w:ascii="ï'71Uˇ" w:hAnsi="ï'71Uˇ" w:cs="ï'71Uˇ"/>
          <w:sz w:val="28"/>
          <w:szCs w:val="28"/>
        </w:rPr>
        <w:t>Coronary Artery Bypass Grafting Surgery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</w:rPr>
      </w:pP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</w:rPr>
      </w:pPr>
      <w:r>
        <w:rPr>
          <w:rFonts w:ascii="ï'71Uˇ" w:hAnsi="ï'71Uˇ" w:cs="ï'71Uˇ"/>
        </w:rPr>
        <w:t xml:space="preserve">D. </w:t>
      </w:r>
      <w:proofErr w:type="spellStart"/>
      <w:r>
        <w:rPr>
          <w:rFonts w:ascii="ï'71Uˇ" w:hAnsi="ï'71Uˇ" w:cs="ï'71Uˇ"/>
        </w:rPr>
        <w:t>Tagreed</w:t>
      </w:r>
      <w:proofErr w:type="spellEnd"/>
      <w:r>
        <w:rPr>
          <w:rFonts w:ascii="ï'71Uˇ" w:hAnsi="ï'71Uˇ" w:cs="ï'71Uˇ"/>
        </w:rPr>
        <w:t xml:space="preserve"> </w:t>
      </w:r>
      <w:proofErr w:type="spellStart"/>
      <w:r>
        <w:rPr>
          <w:rFonts w:ascii="ï'71Uˇ" w:hAnsi="ï'71Uˇ" w:cs="ï'71Uˇ"/>
        </w:rPr>
        <w:t>Altaei</w:t>
      </w:r>
      <w:proofErr w:type="spellEnd"/>
      <w:r>
        <w:rPr>
          <w:rFonts w:ascii="ï'71Uˇ" w:hAnsi="ï'71Uˇ" w:cs="ï'71Uˇ"/>
        </w:rPr>
        <w:t xml:space="preserve">, D. </w:t>
      </w:r>
      <w:proofErr w:type="spellStart"/>
      <w:r>
        <w:rPr>
          <w:rFonts w:ascii="ï'71Uˇ" w:hAnsi="ï'71Uˇ" w:cs="ï'71Uˇ"/>
        </w:rPr>
        <w:t>Imad</w:t>
      </w:r>
      <w:proofErr w:type="spellEnd"/>
      <w:r>
        <w:rPr>
          <w:rFonts w:ascii="ï'71Uˇ" w:hAnsi="ï'71Uˇ" w:cs="ï'71Uˇ"/>
        </w:rPr>
        <w:t xml:space="preserve"> A. Jamal and</w:t>
      </w:r>
      <w:r>
        <w:rPr>
          <w:rFonts w:ascii="ï'71Uˇ" w:hAnsi="ï'71Uˇ" w:cs="ï'71Uˇ"/>
        </w:rPr>
        <w:t xml:space="preserve"> </w:t>
      </w:r>
      <w:r>
        <w:rPr>
          <w:rFonts w:ascii="ï'71Uˇ" w:hAnsi="ï'71Uˇ" w:cs="ï'71Uˇ"/>
        </w:rPr>
        <w:t xml:space="preserve">D. </w:t>
      </w:r>
      <w:proofErr w:type="spellStart"/>
      <w:r>
        <w:rPr>
          <w:rFonts w:ascii="ï'71Uˇ" w:hAnsi="ï'71Uˇ" w:cs="ï'71Uˇ"/>
        </w:rPr>
        <w:t>Diyar</w:t>
      </w:r>
      <w:proofErr w:type="spellEnd"/>
      <w:r>
        <w:rPr>
          <w:rFonts w:ascii="ï'71Uˇ" w:hAnsi="ï'71Uˇ" w:cs="ï'71Uˇ"/>
        </w:rPr>
        <w:t xml:space="preserve"> </w:t>
      </w:r>
      <w:proofErr w:type="spellStart"/>
      <w:r>
        <w:rPr>
          <w:rFonts w:ascii="ï'71Uˇ" w:hAnsi="ï'71Uˇ" w:cs="ï'71Uˇ"/>
        </w:rPr>
        <w:t>Dilshad</w:t>
      </w:r>
      <w:proofErr w:type="spellEnd"/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6"/>
          <w:szCs w:val="16"/>
        </w:rPr>
      </w:pP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6"/>
          <w:szCs w:val="16"/>
        </w:rPr>
      </w:pPr>
      <w:r>
        <w:rPr>
          <w:rFonts w:ascii="ï'71Uˇ" w:hAnsi="ï'71Uˇ" w:cs="ï'71Uˇ"/>
          <w:sz w:val="16"/>
          <w:szCs w:val="16"/>
        </w:rPr>
        <w:t>http://dx.doi.org/10.5772/55125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</w:rPr>
      </w:pP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</w:rPr>
      </w:pPr>
      <w:r>
        <w:rPr>
          <w:rFonts w:ascii="ï'71Uˇ" w:hAnsi="ï'71Uˇ" w:cs="ï'71Uˇ"/>
        </w:rPr>
        <w:t>Introduction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bookmarkStart w:id="0" w:name="_GoBack"/>
      <w:bookmarkEnd w:id="0"/>
      <w:r>
        <w:rPr>
          <w:rFonts w:ascii="ï'71Uˇ" w:hAnsi="ï'71Uˇ" w:cs="ï'71Uˇ"/>
          <w:sz w:val="18"/>
          <w:szCs w:val="18"/>
        </w:rPr>
        <w:t>Coronary artery bypass grafting surgery (CABG) is one of the most effective therapies for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coronary</w:t>
      </w:r>
      <w:proofErr w:type="gramEnd"/>
      <w:r>
        <w:rPr>
          <w:rFonts w:ascii="ï'71Uˇ" w:hAnsi="ï'71Uˇ" w:cs="ï'71Uˇ"/>
          <w:sz w:val="18"/>
          <w:szCs w:val="18"/>
        </w:rPr>
        <w:t xml:space="preserve"> artery disease (CAD). CABG is conventionally performed with the use of cardiopulmonary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bypass</w:t>
      </w:r>
      <w:proofErr w:type="gramEnd"/>
      <w:r>
        <w:rPr>
          <w:rFonts w:ascii="ï'71Uˇ" w:hAnsi="ï'71Uˇ" w:cs="ï'71Uˇ"/>
          <w:sz w:val="18"/>
          <w:szCs w:val="18"/>
        </w:rPr>
        <w:t xml:space="preserve"> (CPB), which has been associated with an increased frequency of complications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r>
        <w:rPr>
          <w:rFonts w:ascii="ï'71Uˇ" w:hAnsi="ï'71Uˇ" w:cs="ï'71Uˇ"/>
          <w:sz w:val="18"/>
          <w:szCs w:val="18"/>
        </w:rPr>
        <w:t xml:space="preserve">[1-3]. A variety of risk factors </w:t>
      </w:r>
      <w:proofErr w:type="gramStart"/>
      <w:r>
        <w:rPr>
          <w:rFonts w:ascii="ï'71Uˇ" w:hAnsi="ï'71Uˇ" w:cs="ï'71Uˇ"/>
          <w:sz w:val="18"/>
          <w:szCs w:val="18"/>
        </w:rPr>
        <w:t>has</w:t>
      </w:r>
      <w:proofErr w:type="gramEnd"/>
      <w:r>
        <w:rPr>
          <w:rFonts w:ascii="ï'71Uˇ" w:hAnsi="ï'71Uˇ" w:cs="ï'71Uˇ"/>
          <w:sz w:val="18"/>
          <w:szCs w:val="18"/>
        </w:rPr>
        <w:t xml:space="preserve"> been described to help delineate risk assessment of patients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undergoing</w:t>
      </w:r>
      <w:proofErr w:type="gramEnd"/>
      <w:r>
        <w:rPr>
          <w:rFonts w:ascii="ï'71Uˇ" w:hAnsi="ï'71Uˇ" w:cs="ï'71Uˇ"/>
          <w:sz w:val="18"/>
          <w:szCs w:val="18"/>
        </w:rPr>
        <w:t xml:space="preserve"> CABG, including preoperative left ventricular ejection fraction (LVEF) [4, 5] and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postoperative</w:t>
      </w:r>
      <w:proofErr w:type="gramEnd"/>
      <w:r>
        <w:rPr>
          <w:rFonts w:ascii="ï'71Uˇ" w:hAnsi="ï'71Uˇ" w:cs="ï'71Uˇ"/>
          <w:sz w:val="18"/>
          <w:szCs w:val="18"/>
        </w:rPr>
        <w:t xml:space="preserve"> increase in </w:t>
      </w:r>
      <w:proofErr w:type="spellStart"/>
      <w:r>
        <w:rPr>
          <w:rFonts w:ascii="ï'71Uˇ" w:hAnsi="ï'71Uˇ" w:cs="ï'71Uˇ"/>
          <w:sz w:val="18"/>
          <w:szCs w:val="18"/>
        </w:rPr>
        <w:t>creatine</w:t>
      </w:r>
      <w:proofErr w:type="spellEnd"/>
      <w:r>
        <w:rPr>
          <w:rFonts w:ascii="ï'71Uˇ" w:hAnsi="ï'71Uˇ" w:cs="ï'71Uˇ"/>
          <w:sz w:val="18"/>
          <w:szCs w:val="18"/>
        </w:rPr>
        <w:t xml:space="preserve"> kinase myocardial band (CK-MB) levels [6-11]. In patients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undergoing</w:t>
      </w:r>
      <w:proofErr w:type="gramEnd"/>
      <w:r>
        <w:rPr>
          <w:rFonts w:ascii="ï'71Uˇ" w:hAnsi="ï'71Uˇ" w:cs="ï'71Uˇ"/>
          <w:sz w:val="18"/>
          <w:szCs w:val="18"/>
        </w:rPr>
        <w:t xml:space="preserve"> coronary artery bypass grafting (CABG), the use of cardiopulmonary bypass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r>
        <w:rPr>
          <w:rFonts w:ascii="ï'71Uˇ" w:hAnsi="ï'71Uˇ" w:cs="ï'71Uˇ"/>
          <w:sz w:val="18"/>
          <w:szCs w:val="18"/>
        </w:rPr>
        <w:t>(CPB) in combination with aortic clamping during coronary artery bypass grafting (CABG)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elicits</w:t>
      </w:r>
      <w:proofErr w:type="gramEnd"/>
      <w:r>
        <w:rPr>
          <w:rFonts w:ascii="ï'71Uˇ" w:hAnsi="ï'71Uˇ" w:cs="ï'71Uˇ"/>
          <w:sz w:val="18"/>
          <w:szCs w:val="18"/>
        </w:rPr>
        <w:t xml:space="preserve"> ischemic myocardial injury [12]. The vascular endothelium is a complex synthetic organ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subject</w:t>
      </w:r>
      <w:proofErr w:type="gramEnd"/>
      <w:r>
        <w:rPr>
          <w:rFonts w:ascii="ï'71Uˇ" w:hAnsi="ï'71Uˇ" w:cs="ï'71Uˇ"/>
          <w:sz w:val="18"/>
          <w:szCs w:val="18"/>
        </w:rPr>
        <w:t xml:space="preserve"> to injury from numerous potential insults, including oxidative stress [13, 14] modified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lipoproteins</w:t>
      </w:r>
      <w:proofErr w:type="gramEnd"/>
      <w:r>
        <w:rPr>
          <w:rFonts w:ascii="ï'71Uˇ" w:hAnsi="ï'71Uˇ" w:cs="ï'71Uˇ"/>
          <w:sz w:val="18"/>
          <w:szCs w:val="18"/>
        </w:rPr>
        <w:t xml:space="preserve"> [15], and hemodynamic forces [16]. Injured endothelial cells initiate a largely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stereotyped</w:t>
      </w:r>
      <w:proofErr w:type="gramEnd"/>
      <w:r>
        <w:rPr>
          <w:rFonts w:ascii="ï'71Uˇ" w:hAnsi="ï'71Uˇ" w:cs="ï'71Uˇ"/>
          <w:sz w:val="18"/>
          <w:szCs w:val="18"/>
        </w:rPr>
        <w:t>, initially protective response. The concurrent uptake of low-density lipoproteins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r>
        <w:rPr>
          <w:rFonts w:ascii="ï'71Uˇ" w:hAnsi="ï'71Uˇ" w:cs="ï'71Uˇ"/>
          <w:sz w:val="18"/>
          <w:szCs w:val="18"/>
        </w:rPr>
        <w:t>(LDLs) by monocyte-derived macrophages transforms them in to the lipid laden foam cells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that</w:t>
      </w:r>
      <w:proofErr w:type="gramEnd"/>
      <w:r>
        <w:rPr>
          <w:rFonts w:ascii="ï'71Uˇ" w:hAnsi="ï'71Uˇ" w:cs="ï'71Uˇ"/>
          <w:sz w:val="18"/>
          <w:szCs w:val="18"/>
        </w:rPr>
        <w:t xml:space="preserve"> constitute a key element of the fatty streak, the first recognizable progenitor of the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advanced</w:t>
      </w:r>
      <w:proofErr w:type="gramEnd"/>
      <w:r>
        <w:rPr>
          <w:rFonts w:ascii="ï'71Uˇ" w:hAnsi="ï'71Uˇ" w:cs="ï'71Uˇ"/>
          <w:sz w:val="18"/>
          <w:szCs w:val="18"/>
        </w:rPr>
        <w:t xml:space="preserve"> atherosclerotic lesion [17, 18].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r>
        <w:rPr>
          <w:rFonts w:ascii="ï'71Uˇ" w:hAnsi="ï'71Uˇ" w:cs="ï'71Uˇ"/>
          <w:sz w:val="18"/>
          <w:szCs w:val="18"/>
        </w:rPr>
        <w:t xml:space="preserve">Silymarin, a </w:t>
      </w:r>
      <w:proofErr w:type="spellStart"/>
      <w:r>
        <w:rPr>
          <w:rFonts w:ascii="ï'71Uˇ" w:hAnsi="ï'71Uˇ" w:cs="ï'71Uˇ"/>
          <w:sz w:val="18"/>
          <w:szCs w:val="18"/>
        </w:rPr>
        <w:t>flavonolignan</w:t>
      </w:r>
      <w:proofErr w:type="spellEnd"/>
      <w:r>
        <w:rPr>
          <w:rFonts w:ascii="ï'71Uˇ" w:hAnsi="ï'71Uˇ" w:cs="ï'71Uˇ"/>
          <w:sz w:val="18"/>
          <w:szCs w:val="18"/>
        </w:rPr>
        <w:t xml:space="preserve"> from ‘milk thistle’ (</w:t>
      </w:r>
      <w:proofErr w:type="spellStart"/>
      <w:r>
        <w:rPr>
          <w:rFonts w:ascii="ï'71Uˇ" w:hAnsi="ï'71Uˇ" w:cs="ï'71Uˇ"/>
          <w:sz w:val="18"/>
          <w:szCs w:val="18"/>
        </w:rPr>
        <w:t>Silybum</w:t>
      </w:r>
      <w:proofErr w:type="spellEnd"/>
      <w:r>
        <w:rPr>
          <w:rFonts w:ascii="ï'71Uˇ" w:hAnsi="ï'71Uˇ" w:cs="ï'71Uˇ"/>
          <w:sz w:val="18"/>
          <w:szCs w:val="18"/>
        </w:rPr>
        <w:t xml:space="preserve"> </w:t>
      </w:r>
      <w:proofErr w:type="spellStart"/>
      <w:r>
        <w:rPr>
          <w:rFonts w:ascii="ï'71Uˇ" w:hAnsi="ï'71Uˇ" w:cs="ï'71Uˇ"/>
          <w:sz w:val="18"/>
          <w:szCs w:val="18"/>
        </w:rPr>
        <w:t>marianum</w:t>
      </w:r>
      <w:proofErr w:type="spellEnd"/>
      <w:r>
        <w:rPr>
          <w:rFonts w:ascii="ï'71Uˇ" w:hAnsi="ï'71Uˇ" w:cs="ï'71Uˇ"/>
          <w:sz w:val="18"/>
          <w:szCs w:val="18"/>
        </w:rPr>
        <w:t>) plant, is used from ancient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times</w:t>
      </w:r>
      <w:proofErr w:type="gramEnd"/>
      <w:r>
        <w:rPr>
          <w:rFonts w:ascii="ï'71Uˇ" w:hAnsi="ï'71Uˇ" w:cs="ï'71Uˇ"/>
          <w:sz w:val="18"/>
          <w:szCs w:val="18"/>
        </w:rPr>
        <w:t xml:space="preserve"> as a </w:t>
      </w:r>
      <w:proofErr w:type="spellStart"/>
      <w:r>
        <w:rPr>
          <w:rFonts w:ascii="ï'71Uˇ" w:hAnsi="ï'71Uˇ" w:cs="ï'71Uˇ"/>
          <w:sz w:val="18"/>
          <w:szCs w:val="18"/>
        </w:rPr>
        <w:t>hepatoprotective</w:t>
      </w:r>
      <w:proofErr w:type="spellEnd"/>
      <w:r>
        <w:rPr>
          <w:rFonts w:ascii="ï'71Uˇ" w:hAnsi="ï'71Uˇ" w:cs="ï'71Uˇ"/>
          <w:sz w:val="18"/>
          <w:szCs w:val="18"/>
        </w:rPr>
        <w:t xml:space="preserve">, antioxidant, anti-lipid </w:t>
      </w:r>
      <w:proofErr w:type="spellStart"/>
      <w:r>
        <w:rPr>
          <w:rFonts w:ascii="ï'71Uˇ" w:hAnsi="ï'71Uˇ" w:cs="ï'71Uˇ"/>
          <w:sz w:val="18"/>
          <w:szCs w:val="18"/>
        </w:rPr>
        <w:t>peroxidative</w:t>
      </w:r>
      <w:proofErr w:type="spellEnd"/>
      <w:r>
        <w:rPr>
          <w:rFonts w:ascii="ï'71Uˇ" w:hAnsi="ï'71Uˇ" w:cs="ï'71Uˇ"/>
          <w:sz w:val="18"/>
          <w:szCs w:val="18"/>
        </w:rPr>
        <w:t xml:space="preserve">, </w:t>
      </w:r>
      <w:proofErr w:type="spellStart"/>
      <w:r>
        <w:rPr>
          <w:rFonts w:ascii="ï'71Uˇ" w:hAnsi="ï'71Uˇ" w:cs="ï'71Uˇ"/>
          <w:sz w:val="18"/>
          <w:szCs w:val="18"/>
        </w:rPr>
        <w:t>antifibrotic</w:t>
      </w:r>
      <w:proofErr w:type="spellEnd"/>
      <w:r>
        <w:rPr>
          <w:rFonts w:ascii="ï'71Uˇ" w:hAnsi="ï'71Uˇ" w:cs="ï'71Uˇ"/>
          <w:sz w:val="18"/>
          <w:szCs w:val="18"/>
        </w:rPr>
        <w:t>, anti-inflammatory,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spellStart"/>
      <w:proofErr w:type="gramStart"/>
      <w:r>
        <w:rPr>
          <w:rFonts w:ascii="ï'71Uˇ" w:hAnsi="ï'71Uˇ" w:cs="ï'71Uˇ"/>
          <w:sz w:val="18"/>
          <w:szCs w:val="18"/>
        </w:rPr>
        <w:t>immunomodulatory</w:t>
      </w:r>
      <w:proofErr w:type="spellEnd"/>
      <w:proofErr w:type="gramEnd"/>
      <w:r>
        <w:rPr>
          <w:rFonts w:ascii="ï'71Uˇ" w:hAnsi="ï'71Uˇ" w:cs="ï'71Uˇ"/>
          <w:sz w:val="18"/>
          <w:szCs w:val="18"/>
        </w:rPr>
        <w:t xml:space="preserve"> and liver regenerating. Silymarin has </w:t>
      </w:r>
      <w:proofErr w:type="spellStart"/>
      <w:r>
        <w:rPr>
          <w:rFonts w:ascii="ï'71Uˇ" w:hAnsi="ï'71Uˇ" w:cs="ï'71Uˇ"/>
          <w:sz w:val="18"/>
          <w:szCs w:val="18"/>
        </w:rPr>
        <w:t>cardioprotective</w:t>
      </w:r>
      <w:proofErr w:type="spellEnd"/>
      <w:r>
        <w:rPr>
          <w:rFonts w:ascii="ï'71Uˇ" w:hAnsi="ï'71Uˇ" w:cs="ï'71Uˇ"/>
          <w:sz w:val="18"/>
          <w:szCs w:val="18"/>
        </w:rPr>
        <w:t xml:space="preserve"> activity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against</w:t>
      </w:r>
      <w:proofErr w:type="gramEnd"/>
      <w:r>
        <w:rPr>
          <w:rFonts w:ascii="ï'71Uˇ" w:hAnsi="ï'71Uˇ" w:cs="ï'71Uˇ"/>
          <w:sz w:val="18"/>
          <w:szCs w:val="18"/>
        </w:rPr>
        <w:t xml:space="preserve"> ischemia-reperfusion induced myocardial infarction in rats [19].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r>
        <w:rPr>
          <w:rFonts w:ascii="ï'71Uˇ" w:hAnsi="ï'71Uˇ" w:cs="ï'71Uˇ"/>
          <w:sz w:val="18"/>
          <w:szCs w:val="18"/>
        </w:rPr>
        <w:t>Protective efficacy of Silymarin treatment confirmed by anti-inflammatory and antioxidant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actions</w:t>
      </w:r>
      <w:proofErr w:type="gramEnd"/>
      <w:r>
        <w:rPr>
          <w:rFonts w:ascii="ï'71Uˇ" w:hAnsi="ï'71Uˇ" w:cs="ï'71Uˇ"/>
          <w:sz w:val="18"/>
          <w:szCs w:val="18"/>
        </w:rPr>
        <w:t xml:space="preserve"> against reperfusion injury and inflammation during CABG surgery [20].</w:t>
      </w: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2"/>
          <w:szCs w:val="12"/>
        </w:rPr>
      </w:pPr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r>
        <w:rPr>
          <w:rFonts w:ascii="ï'71Uˇ" w:hAnsi="ï'71Uˇ" w:cs="ï'71Uˇ"/>
          <w:sz w:val="18"/>
          <w:szCs w:val="18"/>
        </w:rPr>
        <w:t xml:space="preserve">This may represent a novel </w:t>
      </w:r>
      <w:proofErr w:type="spellStart"/>
      <w:r>
        <w:rPr>
          <w:rFonts w:ascii="ï'71Uˇ" w:hAnsi="ï'71Uˇ" w:cs="ï'71Uˇ"/>
          <w:sz w:val="18"/>
          <w:szCs w:val="18"/>
        </w:rPr>
        <w:t>cardioprotective</w:t>
      </w:r>
      <w:proofErr w:type="spellEnd"/>
      <w:r>
        <w:rPr>
          <w:rFonts w:ascii="ï'71Uˇ" w:hAnsi="ï'71Uˇ" w:cs="ï'71Uˇ"/>
          <w:sz w:val="18"/>
          <w:szCs w:val="18"/>
        </w:rPr>
        <w:t xml:space="preserve"> agent to be used pre CABG, to our knowledge</w:t>
      </w:r>
      <w:proofErr w:type="gramStart"/>
      <w:r>
        <w:rPr>
          <w:rFonts w:ascii="ï'71Uˇ" w:hAnsi="ï'71Uˇ" w:cs="ï'71Uˇ"/>
          <w:sz w:val="18"/>
          <w:szCs w:val="18"/>
        </w:rPr>
        <w:t>;</w:t>
      </w:r>
      <w:proofErr w:type="gramEnd"/>
    </w:p>
    <w:p w:rsidR="00F419EA" w:rsidRDefault="00F419EA" w:rsidP="00F419EA">
      <w:pPr>
        <w:autoSpaceDE w:val="0"/>
        <w:autoSpaceDN w:val="0"/>
        <w:bidi w:val="0"/>
        <w:adjustRightInd w:val="0"/>
        <w:spacing w:after="0" w:line="240" w:lineRule="auto"/>
        <w:ind w:firstLine="0"/>
        <w:jc w:val="left"/>
        <w:rPr>
          <w:rFonts w:ascii="ï'71Uˇ" w:hAnsi="ï'71Uˇ" w:cs="ï'71Uˇ"/>
          <w:sz w:val="18"/>
          <w:szCs w:val="18"/>
        </w:rPr>
      </w:pPr>
      <w:proofErr w:type="gramStart"/>
      <w:r>
        <w:rPr>
          <w:rFonts w:ascii="ï'71Uˇ" w:hAnsi="ï'71Uˇ" w:cs="ï'71Uˇ"/>
          <w:sz w:val="18"/>
          <w:szCs w:val="18"/>
        </w:rPr>
        <w:t>this</w:t>
      </w:r>
      <w:proofErr w:type="gramEnd"/>
      <w:r>
        <w:rPr>
          <w:rFonts w:ascii="ï'71Uˇ" w:hAnsi="ï'71Uˇ" w:cs="ï'71Uˇ"/>
          <w:sz w:val="18"/>
          <w:szCs w:val="18"/>
        </w:rPr>
        <w:t xml:space="preserve"> is the first study of pretreatment Silymarin as </w:t>
      </w:r>
      <w:proofErr w:type="spellStart"/>
      <w:r>
        <w:rPr>
          <w:rFonts w:ascii="ï'71Uˇ" w:hAnsi="ï'71Uˇ" w:cs="ï'71Uˇ"/>
          <w:sz w:val="18"/>
          <w:szCs w:val="18"/>
        </w:rPr>
        <w:t>cardioprotective</w:t>
      </w:r>
      <w:proofErr w:type="spellEnd"/>
      <w:r>
        <w:rPr>
          <w:rFonts w:ascii="ï'71Uˇ" w:hAnsi="ï'71Uˇ" w:cs="ï'71Uˇ"/>
          <w:sz w:val="18"/>
          <w:szCs w:val="18"/>
        </w:rPr>
        <w:t xml:space="preserve"> agent in patients undergoing</w:t>
      </w:r>
    </w:p>
    <w:p w:rsidR="00CD2D83" w:rsidRDefault="00F419EA" w:rsidP="00F419EA">
      <w:pPr>
        <w:jc w:val="right"/>
      </w:pPr>
      <w:r>
        <w:rPr>
          <w:rFonts w:ascii="ï'71Uˇ" w:hAnsi="ï'71Uˇ" w:cs="ï'71Uˇ"/>
          <w:sz w:val="18"/>
          <w:szCs w:val="18"/>
        </w:rPr>
        <w:t>CABG.</w:t>
      </w:r>
    </w:p>
    <w:sectPr w:rsidR="00CD2D83" w:rsidSect="002215C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ï'71Uˇ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9EA"/>
    <w:rsid w:val="000C5C4F"/>
    <w:rsid w:val="002215CD"/>
    <w:rsid w:val="003A276D"/>
    <w:rsid w:val="00870D1E"/>
    <w:rsid w:val="00B9467C"/>
    <w:rsid w:val="00C2229D"/>
    <w:rsid w:val="00CD2D83"/>
    <w:rsid w:val="00F419EA"/>
    <w:rsid w:val="00FF1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67147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Manuscript1"/>
    <w:qFormat/>
    <w:rsid w:val="003A276D"/>
    <w:pPr>
      <w:widowControl w:val="0"/>
      <w:bidi/>
      <w:spacing w:after="240" w:line="360" w:lineRule="auto"/>
      <w:ind w:firstLine="357"/>
      <w:jc w:val="both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style">
    <w:name w:val="Thesis style"/>
    <w:next w:val="Normal"/>
    <w:qFormat/>
    <w:rsid w:val="00B9467C"/>
    <w:pPr>
      <w:pBdr>
        <w:top w:val="nil"/>
        <w:left w:val="nil"/>
        <w:bottom w:val="nil"/>
        <w:right w:val="nil"/>
        <w:between w:val="nil"/>
        <w:bar w:val="nil"/>
      </w:pBdr>
      <w:spacing w:after="240" w:line="360" w:lineRule="auto"/>
      <w:ind w:left="720" w:firstLine="360"/>
      <w:jc w:val="both"/>
    </w:pPr>
    <w:rPr>
      <w:rFonts w:ascii="Times" w:eastAsia="Times New Roman" w:hAnsi="Times" w:cs="Times"/>
      <w:color w:val="000000"/>
      <w:sz w:val="28"/>
      <w:u w:color="000000"/>
      <w:bdr w:val="nil"/>
    </w:rPr>
  </w:style>
  <w:style w:type="paragraph" w:customStyle="1" w:styleId="thesis">
    <w:name w:val="thesis"/>
    <w:basedOn w:val="Normal"/>
    <w:next w:val="Normal"/>
    <w:autoRedefine/>
    <w:qFormat/>
    <w:rsid w:val="00870D1E"/>
    <w:pPr>
      <w:spacing w:before="120" w:after="320"/>
      <w:ind w:left="2160"/>
      <w:jc w:val="right"/>
    </w:pPr>
    <w:rPr>
      <w:rFonts w:ascii="Times New Roman" w:eastAsiaTheme="minorHAnsi" w:hAnsi="Times New Roman" w:cs="Times New Roman"/>
      <w:sz w:val="28"/>
      <w:szCs w:val="28"/>
      <w:lang w:bidi="ar-IQ"/>
    </w:rPr>
  </w:style>
  <w:style w:type="paragraph" w:customStyle="1" w:styleId="thesis1">
    <w:name w:val="thesis1"/>
    <w:qFormat/>
    <w:rsid w:val="00870D1E"/>
    <w:pPr>
      <w:spacing w:before="120" w:after="320" w:line="360" w:lineRule="auto"/>
    </w:pPr>
    <w:rPr>
      <w:rFonts w:ascii="Times New Roman" w:eastAsiaTheme="minorHAnsi" w:hAnsi="Times New Roman" w:cs="Times New Roman"/>
      <w:sz w:val="28"/>
      <w:szCs w:val="36"/>
      <w:lang w:bidi="ar-IQ"/>
    </w:rPr>
  </w:style>
  <w:style w:type="paragraph" w:customStyle="1" w:styleId="thesis2">
    <w:name w:val="thesis2"/>
    <w:basedOn w:val="Normal"/>
    <w:qFormat/>
    <w:rsid w:val="00FF1A0F"/>
    <w:pPr>
      <w:spacing w:before="120" w:after="320"/>
      <w:ind w:firstLine="720"/>
    </w:pPr>
    <w:rPr>
      <w:rFonts w:ascii="Times New Roman" w:eastAsiaTheme="minorHAnsi" w:hAnsi="Times New Roman" w:cs="Times New Roman"/>
      <w:sz w:val="28"/>
      <w:szCs w:val="36"/>
      <w:lang w:bidi="ar-IQ"/>
    </w:rPr>
  </w:style>
  <w:style w:type="paragraph" w:customStyle="1" w:styleId="Thesis0">
    <w:name w:val="Thesis"/>
    <w:basedOn w:val="Normal"/>
    <w:next w:val="Normal"/>
    <w:qFormat/>
    <w:rsid w:val="000C5C4F"/>
    <w:pPr>
      <w:spacing w:after="200"/>
      <w:ind w:left="2160"/>
    </w:pPr>
    <w:rPr>
      <w:rFonts w:ascii="Times New Roman" w:eastAsiaTheme="minorHAnsi" w:hAnsi="Times New Roman"/>
      <w:sz w:val="28"/>
      <w:szCs w:val="28"/>
      <w:lang w:bidi="ar-IQ"/>
    </w:rPr>
  </w:style>
  <w:style w:type="paragraph" w:customStyle="1" w:styleId="Manuscript">
    <w:name w:val="Manuscript"/>
    <w:basedOn w:val="Normal"/>
    <w:next w:val="Normal"/>
    <w:qFormat/>
    <w:rsid w:val="003A276D"/>
    <w:pPr>
      <w:spacing w:after="120"/>
    </w:pPr>
  </w:style>
  <w:style w:type="paragraph" w:customStyle="1" w:styleId="Default">
    <w:name w:val="Default"/>
    <w:basedOn w:val="Manuscript"/>
    <w:next w:val="Manuscript"/>
    <w:qFormat/>
    <w:rsid w:val="003A276D"/>
    <w:pPr>
      <w:keepNext/>
      <w:keepLines/>
      <w:framePr w:hSpace="181" w:vSpace="181" w:wrap="notBeside" w:vAnchor="text" w:hAnchor="text" w:y="1"/>
      <w:autoSpaceDE w:val="0"/>
      <w:autoSpaceDN w:val="0"/>
      <w:adjustRightInd w:val="0"/>
      <w:spacing w:after="0" w:line="240" w:lineRule="auto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nuscript1">
    <w:name w:val="Manuscript1"/>
    <w:basedOn w:val="Normal"/>
    <w:next w:val="Normal"/>
    <w:qFormat/>
    <w:rsid w:val="003A276D"/>
    <w:pPr>
      <w:spacing w:after="120"/>
      <w:ind w:firstLine="0"/>
    </w:pPr>
  </w:style>
  <w:style w:type="character" w:styleId="IntenseReference">
    <w:name w:val="Intense Reference"/>
    <w:aliases w:val="Reference"/>
    <w:uiPriority w:val="32"/>
    <w:qFormat/>
    <w:rsid w:val="00C2229D"/>
    <w:rPr>
      <w:rFonts w:ascii="Arial" w:hAnsi="Arial"/>
      <w:b w:val="0"/>
      <w:bCs/>
      <w:smallCaps/>
      <w:color w:val="auto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Manuscript1"/>
    <w:qFormat/>
    <w:rsid w:val="003A276D"/>
    <w:pPr>
      <w:widowControl w:val="0"/>
      <w:bidi/>
      <w:spacing w:after="240" w:line="360" w:lineRule="auto"/>
      <w:ind w:firstLine="357"/>
      <w:jc w:val="both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style">
    <w:name w:val="Thesis style"/>
    <w:next w:val="Normal"/>
    <w:qFormat/>
    <w:rsid w:val="00B9467C"/>
    <w:pPr>
      <w:pBdr>
        <w:top w:val="nil"/>
        <w:left w:val="nil"/>
        <w:bottom w:val="nil"/>
        <w:right w:val="nil"/>
        <w:between w:val="nil"/>
        <w:bar w:val="nil"/>
      </w:pBdr>
      <w:spacing w:after="240" w:line="360" w:lineRule="auto"/>
      <w:ind w:left="720" w:firstLine="360"/>
      <w:jc w:val="both"/>
    </w:pPr>
    <w:rPr>
      <w:rFonts w:ascii="Times" w:eastAsia="Times New Roman" w:hAnsi="Times" w:cs="Times"/>
      <w:color w:val="000000"/>
      <w:sz w:val="28"/>
      <w:u w:color="000000"/>
      <w:bdr w:val="nil"/>
    </w:rPr>
  </w:style>
  <w:style w:type="paragraph" w:customStyle="1" w:styleId="thesis">
    <w:name w:val="thesis"/>
    <w:basedOn w:val="Normal"/>
    <w:next w:val="Normal"/>
    <w:autoRedefine/>
    <w:qFormat/>
    <w:rsid w:val="00870D1E"/>
    <w:pPr>
      <w:spacing w:before="120" w:after="320"/>
      <w:ind w:left="2160"/>
      <w:jc w:val="right"/>
    </w:pPr>
    <w:rPr>
      <w:rFonts w:ascii="Times New Roman" w:eastAsiaTheme="minorHAnsi" w:hAnsi="Times New Roman" w:cs="Times New Roman"/>
      <w:sz w:val="28"/>
      <w:szCs w:val="28"/>
      <w:lang w:bidi="ar-IQ"/>
    </w:rPr>
  </w:style>
  <w:style w:type="paragraph" w:customStyle="1" w:styleId="thesis1">
    <w:name w:val="thesis1"/>
    <w:qFormat/>
    <w:rsid w:val="00870D1E"/>
    <w:pPr>
      <w:spacing w:before="120" w:after="320" w:line="360" w:lineRule="auto"/>
    </w:pPr>
    <w:rPr>
      <w:rFonts w:ascii="Times New Roman" w:eastAsiaTheme="minorHAnsi" w:hAnsi="Times New Roman" w:cs="Times New Roman"/>
      <w:sz w:val="28"/>
      <w:szCs w:val="36"/>
      <w:lang w:bidi="ar-IQ"/>
    </w:rPr>
  </w:style>
  <w:style w:type="paragraph" w:customStyle="1" w:styleId="thesis2">
    <w:name w:val="thesis2"/>
    <w:basedOn w:val="Normal"/>
    <w:qFormat/>
    <w:rsid w:val="00FF1A0F"/>
    <w:pPr>
      <w:spacing w:before="120" w:after="320"/>
      <w:ind w:firstLine="720"/>
    </w:pPr>
    <w:rPr>
      <w:rFonts w:ascii="Times New Roman" w:eastAsiaTheme="minorHAnsi" w:hAnsi="Times New Roman" w:cs="Times New Roman"/>
      <w:sz w:val="28"/>
      <w:szCs w:val="36"/>
      <w:lang w:bidi="ar-IQ"/>
    </w:rPr>
  </w:style>
  <w:style w:type="paragraph" w:customStyle="1" w:styleId="Thesis0">
    <w:name w:val="Thesis"/>
    <w:basedOn w:val="Normal"/>
    <w:next w:val="Normal"/>
    <w:qFormat/>
    <w:rsid w:val="000C5C4F"/>
    <w:pPr>
      <w:spacing w:after="200"/>
      <w:ind w:left="2160"/>
    </w:pPr>
    <w:rPr>
      <w:rFonts w:ascii="Times New Roman" w:eastAsiaTheme="minorHAnsi" w:hAnsi="Times New Roman"/>
      <w:sz w:val="28"/>
      <w:szCs w:val="28"/>
      <w:lang w:bidi="ar-IQ"/>
    </w:rPr>
  </w:style>
  <w:style w:type="paragraph" w:customStyle="1" w:styleId="Manuscript">
    <w:name w:val="Manuscript"/>
    <w:basedOn w:val="Normal"/>
    <w:next w:val="Normal"/>
    <w:qFormat/>
    <w:rsid w:val="003A276D"/>
    <w:pPr>
      <w:spacing w:after="120"/>
    </w:pPr>
  </w:style>
  <w:style w:type="paragraph" w:customStyle="1" w:styleId="Default">
    <w:name w:val="Default"/>
    <w:basedOn w:val="Manuscript"/>
    <w:next w:val="Manuscript"/>
    <w:qFormat/>
    <w:rsid w:val="003A276D"/>
    <w:pPr>
      <w:keepNext/>
      <w:keepLines/>
      <w:framePr w:hSpace="181" w:vSpace="181" w:wrap="notBeside" w:vAnchor="text" w:hAnchor="text" w:y="1"/>
      <w:autoSpaceDE w:val="0"/>
      <w:autoSpaceDN w:val="0"/>
      <w:adjustRightInd w:val="0"/>
      <w:spacing w:after="0" w:line="240" w:lineRule="auto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nuscript1">
    <w:name w:val="Manuscript1"/>
    <w:basedOn w:val="Normal"/>
    <w:next w:val="Normal"/>
    <w:qFormat/>
    <w:rsid w:val="003A276D"/>
    <w:pPr>
      <w:spacing w:after="120"/>
      <w:ind w:firstLine="0"/>
    </w:pPr>
  </w:style>
  <w:style w:type="character" w:styleId="IntenseReference">
    <w:name w:val="Intense Reference"/>
    <w:aliases w:val="Reference"/>
    <w:uiPriority w:val="32"/>
    <w:qFormat/>
    <w:rsid w:val="00C2229D"/>
    <w:rPr>
      <w:rFonts w:ascii="Arial" w:hAnsi="Arial"/>
      <w:b w:val="0"/>
      <w:bCs/>
      <w:smallCaps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1891</Characters>
  <Application>Microsoft Macintosh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 A</dc:creator>
  <cp:keywords/>
  <dc:description/>
  <cp:lastModifiedBy>TS A</cp:lastModifiedBy>
  <cp:revision>1</cp:revision>
  <dcterms:created xsi:type="dcterms:W3CDTF">2017-04-08T17:43:00Z</dcterms:created>
  <dcterms:modified xsi:type="dcterms:W3CDTF">2017-04-08T17:45:00Z</dcterms:modified>
</cp:coreProperties>
</file>