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F4D2FF" w14:textId="77777777" w:rsidR="00ED1617" w:rsidRPr="00ED1617" w:rsidRDefault="00ED1617" w:rsidP="00E1052B">
      <w:pPr>
        <w:pStyle w:val="Titlu1"/>
        <w:spacing w:after="240"/>
        <w:rPr>
          <w:i/>
          <w:color w:val="548DD4" w:themeColor="text2" w:themeTint="99"/>
        </w:rPr>
      </w:pPr>
      <w:r w:rsidRPr="00ED1617">
        <w:rPr>
          <w:color w:val="548DD4" w:themeColor="text2" w:themeTint="99"/>
        </w:rPr>
        <w:t xml:space="preserve">Enzyme Inhibitory Activities of </w:t>
      </w:r>
      <w:bookmarkStart w:id="0" w:name="_Hlk527468104"/>
      <w:bookmarkStart w:id="1" w:name="_Hlk527467020"/>
      <w:r w:rsidRPr="00ED1617">
        <w:rPr>
          <w:i/>
          <w:color w:val="548DD4" w:themeColor="text2" w:themeTint="99"/>
        </w:rPr>
        <w:t xml:space="preserve">Nymphaea alba </w:t>
      </w:r>
      <w:bookmarkEnd w:id="0"/>
      <w:r w:rsidRPr="00ED1617">
        <w:rPr>
          <w:color w:val="548DD4" w:themeColor="text2" w:themeTint="99"/>
        </w:rPr>
        <w:t>fruit extracts</w:t>
      </w:r>
    </w:p>
    <w:bookmarkEnd w:id="1"/>
    <w:p w14:paraId="3D4F4C17" w14:textId="77777777" w:rsidR="00A87857" w:rsidRPr="005D61C6" w:rsidRDefault="00A87857" w:rsidP="00FE4A64">
      <w:pPr>
        <w:ind w:firstLine="100"/>
        <w:rPr>
          <w:rFonts w:ascii="Arial" w:hAnsi="Arial" w:cs="Arial"/>
          <w:snapToGrid w:val="0"/>
          <w:sz w:val="18"/>
          <w:szCs w:val="18"/>
          <w:lang w:eastAsia="ko-KR"/>
        </w:rPr>
      </w:pPr>
      <w:r w:rsidRPr="005D61C6">
        <w:rPr>
          <w:rFonts w:ascii="Arial" w:eastAsia="Times New Roman" w:hAnsi="Arial" w:cs="Arial"/>
          <w:snapToGrid w:val="0"/>
          <w:sz w:val="18"/>
          <w:szCs w:val="18"/>
          <w:u w:val="single"/>
        </w:rPr>
        <w:t>Mihaela Cudălbeanu</w:t>
      </w:r>
      <w:r w:rsidRPr="005D61C6">
        <w:rPr>
          <w:rFonts w:ascii="Arial" w:eastAsia="Times New Roman" w:hAnsi="Arial" w:cs="Arial"/>
          <w:snapToGrid w:val="0"/>
          <w:sz w:val="18"/>
          <w:szCs w:val="18"/>
          <w:vertAlign w:val="superscript"/>
        </w:rPr>
        <w:t>1</w:t>
      </w:r>
      <w:r w:rsidRPr="005D61C6">
        <w:rPr>
          <w:rFonts w:ascii="Arial" w:eastAsia="Times New Roman" w:hAnsi="Arial" w:cs="Arial"/>
          <w:snapToGrid w:val="0"/>
          <w:sz w:val="18"/>
          <w:szCs w:val="18"/>
        </w:rPr>
        <w:t xml:space="preserve">, </w:t>
      </w:r>
      <w:proofErr w:type="spellStart"/>
      <w:r w:rsidRPr="005D61C6">
        <w:rPr>
          <w:rFonts w:ascii="Arial" w:eastAsia="Times New Roman" w:hAnsi="Arial" w:cs="Arial"/>
          <w:snapToGrid w:val="0"/>
          <w:sz w:val="18"/>
          <w:szCs w:val="18"/>
        </w:rPr>
        <w:t>Ioana</w:t>
      </w:r>
      <w:proofErr w:type="spellEnd"/>
      <w:r w:rsidRPr="005D61C6">
        <w:rPr>
          <w:rFonts w:ascii="Arial" w:eastAsia="Times New Roman" w:hAnsi="Arial" w:cs="Arial"/>
          <w:snapToGrid w:val="0"/>
          <w:sz w:val="18"/>
          <w:szCs w:val="18"/>
        </w:rPr>
        <w:t xml:space="preserve"> O. Ghinea</w:t>
      </w:r>
      <w:r w:rsidRPr="005D61C6">
        <w:rPr>
          <w:rFonts w:ascii="Arial" w:eastAsia="Times New Roman" w:hAnsi="Arial" w:cs="Arial"/>
          <w:snapToGrid w:val="0"/>
          <w:sz w:val="18"/>
          <w:szCs w:val="18"/>
          <w:vertAlign w:val="superscript"/>
        </w:rPr>
        <w:t>1</w:t>
      </w:r>
      <w:r w:rsidRPr="005D61C6">
        <w:rPr>
          <w:rFonts w:ascii="Arial" w:eastAsia="Times New Roman" w:hAnsi="Arial" w:cs="Arial"/>
          <w:snapToGrid w:val="0"/>
          <w:sz w:val="18"/>
          <w:szCs w:val="18"/>
        </w:rPr>
        <w:t>, Anna Caza</w:t>
      </w:r>
      <w:r w:rsidR="005D61C6" w:rsidRPr="005D61C6">
        <w:rPr>
          <w:rFonts w:ascii="Arial" w:eastAsia="Times New Roman" w:hAnsi="Arial" w:cs="Arial"/>
          <w:snapToGrid w:val="0"/>
          <w:sz w:val="18"/>
          <w:szCs w:val="18"/>
        </w:rPr>
        <w:t>ne</w:t>
      </w:r>
      <w:r w:rsidR="001431BF">
        <w:rPr>
          <w:rFonts w:ascii="Arial" w:eastAsia="Times New Roman" w:hAnsi="Arial" w:cs="Arial"/>
          <w:snapToGrid w:val="0"/>
          <w:sz w:val="18"/>
          <w:szCs w:val="18"/>
        </w:rPr>
        <w:t>v</w:t>
      </w:r>
      <w:r w:rsidR="005D61C6" w:rsidRPr="005D61C6">
        <w:rPr>
          <w:rFonts w:ascii="Arial" w:eastAsia="Times New Roman" w:hAnsi="Arial" w:cs="Arial"/>
          <w:snapToGrid w:val="0"/>
          <w:sz w:val="18"/>
          <w:szCs w:val="18"/>
        </w:rPr>
        <w:t>scaia</w:t>
      </w:r>
      <w:r w:rsidR="001431BF" w:rsidRPr="005D61C6">
        <w:rPr>
          <w:rFonts w:ascii="Arial" w:eastAsia="Times New Roman" w:hAnsi="Arial" w:cs="Arial"/>
          <w:snapToGrid w:val="0"/>
          <w:sz w:val="18"/>
          <w:szCs w:val="18"/>
          <w:vertAlign w:val="superscript"/>
        </w:rPr>
        <w:t>1</w:t>
      </w:r>
      <w:r w:rsidR="005D61C6" w:rsidRPr="005D61C6">
        <w:rPr>
          <w:rFonts w:ascii="Arial" w:eastAsia="Times New Roman" w:hAnsi="Arial" w:cs="Arial"/>
          <w:snapToGrid w:val="0"/>
          <w:sz w:val="18"/>
          <w:szCs w:val="18"/>
        </w:rPr>
        <w:t xml:space="preserve">, </w:t>
      </w:r>
      <w:r w:rsidRPr="005D61C6">
        <w:rPr>
          <w:rFonts w:ascii="Arial" w:eastAsia="Times New Roman" w:hAnsi="Arial" w:cs="Arial"/>
          <w:snapToGrid w:val="0"/>
          <w:sz w:val="18"/>
          <w:szCs w:val="18"/>
        </w:rPr>
        <w:t>Bianca Furdui</w:t>
      </w:r>
      <w:r w:rsidRPr="005D61C6">
        <w:rPr>
          <w:rFonts w:ascii="Arial" w:eastAsia="Times New Roman" w:hAnsi="Arial" w:cs="Arial"/>
          <w:snapToGrid w:val="0"/>
          <w:sz w:val="18"/>
          <w:szCs w:val="18"/>
          <w:vertAlign w:val="superscript"/>
        </w:rPr>
        <w:t>1</w:t>
      </w:r>
      <w:r w:rsidRPr="005D61C6">
        <w:rPr>
          <w:rFonts w:ascii="Arial" w:eastAsia="Times New Roman" w:hAnsi="Arial" w:cs="Arial"/>
          <w:snapToGrid w:val="0"/>
          <w:sz w:val="18"/>
          <w:szCs w:val="18"/>
        </w:rPr>
        <w:t xml:space="preserve"> and Rodica M. Dinica</w:t>
      </w:r>
      <w:r w:rsidRPr="005D61C6">
        <w:rPr>
          <w:rFonts w:ascii="Arial" w:eastAsia="Times New Roman" w:hAnsi="Arial" w:cs="Arial"/>
          <w:snapToGrid w:val="0"/>
          <w:sz w:val="18"/>
          <w:szCs w:val="18"/>
          <w:vertAlign w:val="superscript"/>
        </w:rPr>
        <w:t>1*</w:t>
      </w:r>
    </w:p>
    <w:p w14:paraId="2626E4D3" w14:textId="77777777" w:rsidR="00E1052B" w:rsidRDefault="00E1052B" w:rsidP="005D61C6">
      <w:pPr>
        <w:snapToGrid w:val="0"/>
        <w:rPr>
          <w:rFonts w:ascii="Arial" w:eastAsia="Times New Roman" w:hAnsi="Arial" w:cs="Arial"/>
          <w:snapToGrid w:val="0"/>
          <w:sz w:val="18"/>
          <w:szCs w:val="18"/>
          <w:vertAlign w:val="superscript"/>
        </w:rPr>
      </w:pPr>
    </w:p>
    <w:p w14:paraId="3D253DA8" w14:textId="77777777" w:rsidR="005D61C6" w:rsidRDefault="00A87857" w:rsidP="00FE4A64">
      <w:pPr>
        <w:snapToGrid w:val="0"/>
        <w:ind w:firstLine="100"/>
        <w:rPr>
          <w:rFonts w:ascii="Arial" w:eastAsia="Times New Roman" w:hAnsi="Arial" w:cs="Arial"/>
          <w:snapToGrid w:val="0"/>
          <w:sz w:val="18"/>
          <w:szCs w:val="18"/>
        </w:rPr>
      </w:pPr>
      <w:r w:rsidRPr="005D61C6">
        <w:rPr>
          <w:rFonts w:ascii="Arial" w:eastAsia="Times New Roman" w:hAnsi="Arial" w:cs="Arial"/>
          <w:snapToGrid w:val="0"/>
          <w:sz w:val="18"/>
          <w:szCs w:val="18"/>
          <w:vertAlign w:val="superscript"/>
        </w:rPr>
        <w:t>1</w:t>
      </w:r>
      <w:r w:rsidRPr="005D61C6">
        <w:rPr>
          <w:rFonts w:ascii="Arial" w:eastAsia="Times New Roman" w:hAnsi="Arial" w:cs="Arial"/>
          <w:snapToGrid w:val="0"/>
          <w:sz w:val="18"/>
          <w:szCs w:val="18"/>
        </w:rPr>
        <w:t xml:space="preserve">“Dunarea de Jos” University of Galati, Department of Chemistry, Physics and Environment, </w:t>
      </w:r>
      <w:proofErr w:type="spellStart"/>
      <w:r w:rsidRPr="005D61C6">
        <w:rPr>
          <w:rFonts w:ascii="Arial" w:eastAsia="Times New Roman" w:hAnsi="Arial" w:cs="Arial"/>
          <w:snapToGrid w:val="0"/>
          <w:sz w:val="18"/>
          <w:szCs w:val="18"/>
        </w:rPr>
        <w:t>Domneasca</w:t>
      </w:r>
      <w:proofErr w:type="spellEnd"/>
      <w:r w:rsidRPr="005D61C6">
        <w:rPr>
          <w:rFonts w:ascii="Arial" w:eastAsia="Times New Roman" w:hAnsi="Arial" w:cs="Arial"/>
          <w:snapToGrid w:val="0"/>
          <w:sz w:val="18"/>
          <w:szCs w:val="18"/>
        </w:rPr>
        <w:t xml:space="preserve"> Street 47, 800008</w:t>
      </w:r>
      <w:r w:rsidR="005D61C6">
        <w:rPr>
          <w:rFonts w:ascii="Arial" w:eastAsia="Times New Roman" w:hAnsi="Arial" w:cs="Arial"/>
          <w:snapToGrid w:val="0"/>
          <w:sz w:val="18"/>
          <w:szCs w:val="18"/>
        </w:rPr>
        <w:t xml:space="preserve">, </w:t>
      </w:r>
    </w:p>
    <w:p w14:paraId="58BB290D" w14:textId="77777777" w:rsidR="00A87857" w:rsidRPr="005D61C6" w:rsidRDefault="00A87857" w:rsidP="00FE4A64">
      <w:pPr>
        <w:snapToGrid w:val="0"/>
        <w:ind w:firstLine="100"/>
        <w:rPr>
          <w:rFonts w:ascii="Arial" w:hAnsi="Arial" w:cs="Arial"/>
          <w:sz w:val="18"/>
          <w:szCs w:val="18"/>
        </w:rPr>
      </w:pPr>
      <w:r w:rsidRPr="005D61C6">
        <w:rPr>
          <w:rFonts w:ascii="Arial" w:eastAsia="Times New Roman" w:hAnsi="Arial" w:cs="Arial"/>
          <w:snapToGrid w:val="0"/>
          <w:sz w:val="18"/>
          <w:szCs w:val="18"/>
        </w:rPr>
        <w:t>Galati, Romania</w:t>
      </w:r>
      <w:r w:rsidR="005D61C6">
        <w:rPr>
          <w:rFonts w:ascii="Arial" w:eastAsia="Times New Roman" w:hAnsi="Arial" w:cs="Arial"/>
          <w:snapToGrid w:val="0"/>
          <w:sz w:val="18"/>
          <w:szCs w:val="18"/>
        </w:rPr>
        <w:t xml:space="preserve">, </w:t>
      </w:r>
      <w:r w:rsidRPr="005D61C6">
        <w:rPr>
          <w:rFonts w:ascii="Arial" w:eastAsia="Times New Roman" w:hAnsi="Arial" w:cs="Arial"/>
          <w:sz w:val="18"/>
          <w:szCs w:val="18"/>
        </w:rPr>
        <w:t xml:space="preserve">*correspondence to: </w:t>
      </w:r>
      <w:proofErr w:type="spellStart"/>
      <w:r w:rsidRPr="005D61C6">
        <w:rPr>
          <w:rFonts w:ascii="Arial" w:eastAsia="Times New Roman" w:hAnsi="Arial" w:cs="Arial"/>
          <w:color w:val="000000"/>
          <w:sz w:val="18"/>
          <w:szCs w:val="18"/>
        </w:rPr>
        <w:t>rodica.dinica</w:t>
      </w:r>
      <w:proofErr w:type="spellEnd"/>
      <w:r w:rsidRPr="005D61C6">
        <w:rPr>
          <w:rFonts w:ascii="Arial" w:eastAsia="Times New Roman" w:hAnsi="Arial" w:cs="Arial"/>
          <w:color w:val="000000"/>
          <w:sz w:val="18"/>
          <w:szCs w:val="18"/>
        </w:rPr>
        <w:t>@</w:t>
      </w:r>
      <w:r w:rsidRPr="005D61C6">
        <w:rPr>
          <w:rFonts w:ascii="Arial" w:eastAsia="Times New Roman" w:hAnsi="Arial" w:cs="Arial"/>
          <w:color w:val="000000"/>
          <w:sz w:val="18"/>
          <w:szCs w:val="18"/>
          <w:lang w:val="en-GB"/>
        </w:rPr>
        <w:t>ugal.ro</w:t>
      </w:r>
    </w:p>
    <w:p w14:paraId="1F22BB74" w14:textId="77777777" w:rsidR="00AE3E37" w:rsidRDefault="00FE4A64">
      <w:pPr>
        <w:pStyle w:val="Corptext"/>
        <w:rPr>
          <w:rFonts w:ascii="Arial"/>
          <w:sz w:val="20"/>
        </w:rPr>
      </w:pPr>
      <w:r>
        <w:rPr>
          <w:rFonts w:ascii="Arial"/>
          <w:sz w:val="20"/>
        </w:rPr>
        <w:tab/>
      </w:r>
    </w:p>
    <w:p w14:paraId="127E21EB" w14:textId="77777777" w:rsidR="00AE3E37" w:rsidRDefault="00AE3E37">
      <w:pPr>
        <w:pStyle w:val="Corptext"/>
        <w:spacing w:before="3"/>
        <w:rPr>
          <w:rFonts w:ascii="Arial"/>
          <w:sz w:val="21"/>
        </w:rPr>
      </w:pPr>
    </w:p>
    <w:p w14:paraId="0BE7E082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99C8E2D" w14:textId="77777777" w:rsidR="009D47C3" w:rsidRDefault="009D47C3" w:rsidP="009D47C3">
      <w:pPr>
        <w:pStyle w:val="Titlu3"/>
        <w:spacing w:before="147"/>
        <w:jc w:val="both"/>
      </w:pPr>
      <w:r>
        <w:rPr>
          <w:color w:val="BF5A14"/>
        </w:rPr>
        <w:t>Abstract (</w:t>
      </w:r>
      <w:proofErr w:type="gramStart"/>
      <w:r>
        <w:rPr>
          <w:color w:val="BF5A14"/>
        </w:rPr>
        <w:t>300 word</w:t>
      </w:r>
      <w:proofErr w:type="gramEnd"/>
      <w:r>
        <w:rPr>
          <w:color w:val="BF5A14"/>
        </w:rPr>
        <w:t xml:space="preserve"> limit)</w:t>
      </w:r>
    </w:p>
    <w:p w14:paraId="660741F7" w14:textId="36C4ACB4" w:rsidR="00AE3E37" w:rsidRPr="002E4759" w:rsidRDefault="00FA6147" w:rsidP="00FA6147">
      <w:pPr>
        <w:pStyle w:val="Titlu3"/>
        <w:spacing w:before="74"/>
        <w:jc w:val="both"/>
        <w:rPr>
          <w:rFonts w:ascii="Tw Cen MT" w:eastAsia="Tw Cen MT" w:hAnsi="Tw Cen MT" w:cs="Tw Cen MT"/>
          <w:b w:val="0"/>
          <w:bCs w:val="0"/>
          <w:sz w:val="24"/>
          <w:szCs w:val="24"/>
        </w:rPr>
      </w:pPr>
      <w:r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>Statement of the Problem:</w:t>
      </w:r>
      <w:r w:rsidR="00394E6C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In the developing countries the diabetes and also the hyperuricemia</w:t>
      </w:r>
      <w:r w:rsidR="00A91EA8" w:rsidRPr="00A91EA8">
        <w:t xml:space="preserve"> </w:t>
      </w:r>
      <w:r w:rsidR="00A91EA8" w:rsidRPr="00A91EA8">
        <w:rPr>
          <w:rFonts w:ascii="Tw Cen MT" w:eastAsia="Tw Cen MT" w:hAnsi="Tw Cen MT" w:cs="Tw Cen MT"/>
          <w:b w:val="0"/>
          <w:bCs w:val="0"/>
          <w:sz w:val="24"/>
          <w:szCs w:val="24"/>
        </w:rPr>
        <w:t>can cause</w:t>
      </w:r>
      <w:r w:rsidR="00394E6C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many problems for people's health and has shown an increasing trend among the urban population. </w:t>
      </w:r>
      <w:r w:rsidR="008E0057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The studies published before reported that the alcoholic extracts of </w:t>
      </w:r>
      <w:r w:rsidR="008E0057" w:rsidRPr="002E4759">
        <w:rPr>
          <w:rFonts w:ascii="Tw Cen MT" w:eastAsia="Tw Cen MT" w:hAnsi="Tw Cen MT" w:cs="Tw Cen MT"/>
          <w:b w:val="0"/>
          <w:bCs w:val="0"/>
          <w:i/>
          <w:sz w:val="24"/>
          <w:szCs w:val="24"/>
        </w:rPr>
        <w:t>Nymphaea alba</w:t>
      </w:r>
      <w:r w:rsidR="008E0057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from the Danube Delta Biosphere Reserve ha</w:t>
      </w:r>
      <w:r w:rsidR="006F2C4F">
        <w:rPr>
          <w:rFonts w:ascii="Tw Cen MT" w:eastAsia="Tw Cen MT" w:hAnsi="Tw Cen MT" w:cs="Tw Cen MT"/>
          <w:b w:val="0"/>
          <w:bCs w:val="0"/>
          <w:sz w:val="24"/>
          <w:szCs w:val="24"/>
        </w:rPr>
        <w:t>ve bioactive compounds like</w:t>
      </w:r>
      <w:r w:rsidR="008E0057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polyphenol</w:t>
      </w:r>
      <w:r w:rsidR="006F2C4F">
        <w:rPr>
          <w:rFonts w:ascii="Tw Cen MT" w:eastAsia="Tw Cen MT" w:hAnsi="Tw Cen MT" w:cs="Tw Cen MT"/>
          <w:b w:val="0"/>
          <w:bCs w:val="0"/>
          <w:sz w:val="24"/>
          <w:szCs w:val="24"/>
        </w:rPr>
        <w:t>s</w:t>
      </w:r>
      <w:r w:rsidR="008E0057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and flavonoid</w:t>
      </w:r>
      <w:r w:rsidR="006F2C4F">
        <w:rPr>
          <w:rFonts w:ascii="Tw Cen MT" w:eastAsia="Tw Cen MT" w:hAnsi="Tw Cen MT" w:cs="Tw Cen MT"/>
          <w:b w:val="0"/>
          <w:bCs w:val="0"/>
          <w:sz w:val="24"/>
          <w:szCs w:val="24"/>
        </w:rPr>
        <w:t>s</w:t>
      </w:r>
      <w:r w:rsidR="008E0057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. The </w:t>
      </w:r>
      <w:r w:rsidR="008E0057" w:rsidRPr="002E4759">
        <w:rPr>
          <w:rFonts w:ascii="Tw Cen MT" w:eastAsia="Tw Cen MT" w:hAnsi="Tw Cen MT" w:cs="Tw Cen MT"/>
          <w:b w:val="0"/>
          <w:bCs w:val="0"/>
          <w:i/>
          <w:sz w:val="24"/>
          <w:szCs w:val="24"/>
        </w:rPr>
        <w:t>Nymphaea alba</w:t>
      </w:r>
      <w:r w:rsidR="008E0057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fruit extracts were investigated further to determine their therapeutic potential to inhibit key enzymes involved in carbohydrate metabolism or in the catabolism of purines. </w:t>
      </w:r>
      <w:r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Methodology &amp; Theoretical Orientation: </w:t>
      </w:r>
      <w:r w:rsidR="008E0057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The evaluation of enzyme inhibitory activity of alcoholic extracts of </w:t>
      </w:r>
      <w:r w:rsidR="008E0057" w:rsidRPr="002E4759">
        <w:rPr>
          <w:rFonts w:ascii="Tw Cen MT" w:eastAsia="Tw Cen MT" w:hAnsi="Tw Cen MT" w:cs="Tw Cen MT"/>
          <w:b w:val="0"/>
          <w:bCs w:val="0"/>
          <w:i/>
          <w:sz w:val="24"/>
          <w:szCs w:val="24"/>
        </w:rPr>
        <w:t>Nymphaea alba</w:t>
      </w:r>
      <w:r w:rsidR="008E0057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fruits was carried out against </w:t>
      </w:r>
      <w:r w:rsidR="008E0057" w:rsidRPr="002E4759">
        <w:rPr>
          <w:rFonts w:ascii="Calibri" w:eastAsia="Tw Cen MT" w:hAnsi="Calibri" w:cs="Calibri"/>
          <w:b w:val="0"/>
          <w:bCs w:val="0"/>
          <w:sz w:val="24"/>
          <w:szCs w:val="24"/>
        </w:rPr>
        <w:t>α</w:t>
      </w:r>
      <w:r w:rsidR="008E0057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-amylase and xanthine oxidase. It is known that polyphenols readily complex with protein and as a result, often, there is an inhibition of enzyme activity. Enzyme inhibitory activities of the extracts from </w:t>
      </w:r>
      <w:r w:rsidR="008E0057" w:rsidRPr="002E4759">
        <w:rPr>
          <w:rFonts w:ascii="Tw Cen MT" w:eastAsia="Tw Cen MT" w:hAnsi="Tw Cen MT" w:cs="Tw Cen MT"/>
          <w:b w:val="0"/>
          <w:bCs w:val="0"/>
          <w:i/>
          <w:sz w:val="24"/>
          <w:szCs w:val="24"/>
        </w:rPr>
        <w:t>Nymphaea alba</w:t>
      </w:r>
      <w:r w:rsidR="008E0057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fruits were assayed </w:t>
      </w:r>
      <w:r w:rsidR="008E0057" w:rsidRPr="002E4759">
        <w:rPr>
          <w:rFonts w:ascii="Tw Cen MT" w:eastAsia="Tw Cen MT" w:hAnsi="Tw Cen MT" w:cs="Tw Cen MT"/>
          <w:b w:val="0"/>
          <w:bCs w:val="0"/>
          <w:i/>
          <w:sz w:val="24"/>
          <w:szCs w:val="24"/>
        </w:rPr>
        <w:t>in vitro</w:t>
      </w:r>
      <w:r w:rsidR="008E0057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. </w:t>
      </w:r>
      <w:r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Findings: </w:t>
      </w:r>
      <w:r w:rsidR="008E0057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The results indicate that the evaluated alcoholic extracts were exerted higher inhibitory activity against both </w:t>
      </w:r>
      <w:r w:rsidR="008E0057" w:rsidRPr="002E4759">
        <w:rPr>
          <w:rFonts w:ascii="Calibri" w:eastAsia="Tw Cen MT" w:hAnsi="Calibri" w:cs="Calibri"/>
          <w:b w:val="0"/>
          <w:bCs w:val="0"/>
          <w:sz w:val="24"/>
          <w:szCs w:val="24"/>
        </w:rPr>
        <w:t>α</w:t>
      </w:r>
      <w:r w:rsidR="008E0057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>-amylase and xanthine oxidase enzymes, having the highest xanthine oxidase inhibitory activity (IC50 = 160 µg/mL), and</w:t>
      </w:r>
      <w:r w:rsidR="00FF4E33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</w:t>
      </w:r>
      <w:r w:rsidR="00394E6C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also </w:t>
      </w:r>
      <w:r w:rsidR="008E0057" w:rsidRPr="002E4759">
        <w:rPr>
          <w:rFonts w:ascii="Calibri" w:eastAsia="Tw Cen MT" w:hAnsi="Calibri" w:cs="Calibri"/>
          <w:b w:val="0"/>
          <w:bCs w:val="0"/>
          <w:sz w:val="24"/>
          <w:szCs w:val="24"/>
        </w:rPr>
        <w:t>α</w:t>
      </w:r>
      <w:r w:rsidR="008E0057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>-amylase highest inhibitory activity (IC50 = 4 mg/mL).</w:t>
      </w:r>
      <w:r w:rsidRPr="002E4759">
        <w:rPr>
          <w:rFonts w:ascii="Tw Cen MT" w:hAnsi="Tw Cen MT"/>
          <w:sz w:val="24"/>
          <w:szCs w:val="24"/>
        </w:rPr>
        <w:t xml:space="preserve"> </w:t>
      </w:r>
      <w:r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>Conclusion &amp; Significance:</w:t>
      </w:r>
      <w:r w:rsidR="0073544B" w:rsidRPr="002E4759">
        <w:rPr>
          <w:rFonts w:ascii="Tw Cen MT" w:hAnsi="Tw Cen MT"/>
          <w:sz w:val="24"/>
          <w:szCs w:val="24"/>
        </w:rPr>
        <w:t xml:space="preserve"> </w:t>
      </w:r>
      <w:r w:rsidR="0073544B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The obtained results suggest that the </w:t>
      </w:r>
      <w:r w:rsidR="0073544B" w:rsidRPr="002E4759">
        <w:rPr>
          <w:rFonts w:ascii="Tw Cen MT" w:eastAsia="Tw Cen MT" w:hAnsi="Tw Cen MT" w:cs="Tw Cen MT"/>
          <w:b w:val="0"/>
          <w:bCs w:val="0"/>
          <w:i/>
          <w:sz w:val="24"/>
          <w:szCs w:val="24"/>
        </w:rPr>
        <w:t>Nymphaea alba</w:t>
      </w:r>
      <w:r w:rsidR="0073544B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fruit </w:t>
      </w:r>
      <w:r w:rsidR="00341980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>extracts have</w:t>
      </w:r>
      <w:r w:rsidR="0073544B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the major components inhibiting the </w:t>
      </w:r>
      <w:r w:rsidR="00341980" w:rsidRPr="002E4759">
        <w:rPr>
          <w:rFonts w:ascii="Calibri" w:eastAsia="Tw Cen MT" w:hAnsi="Calibri" w:cs="Calibri"/>
          <w:b w:val="0"/>
          <w:bCs w:val="0"/>
          <w:sz w:val="24"/>
          <w:szCs w:val="24"/>
        </w:rPr>
        <w:t>α</w:t>
      </w:r>
      <w:r w:rsidR="00341980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>-</w:t>
      </w:r>
      <w:r w:rsidR="0073544B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amylase and xanthine oxidase activity in vitro. </w:t>
      </w:r>
      <w:r w:rsidR="00F37636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</w:t>
      </w:r>
      <w:r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</w:t>
      </w:r>
      <w:r w:rsidR="008E0057"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</w:t>
      </w:r>
      <w:r w:rsidRPr="002E4759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  </w:t>
      </w:r>
      <w:r w:rsidR="00A9710C" w:rsidRPr="002E4759">
        <w:rPr>
          <w:rFonts w:ascii="Tw Cen MT" w:hAnsi="Tw Cen MT"/>
          <w:b w:val="0"/>
          <w:sz w:val="24"/>
          <w:szCs w:val="24"/>
        </w:rPr>
        <w:br w:type="column"/>
      </w:r>
    </w:p>
    <w:p w14:paraId="3F7A96F8" w14:textId="77777777" w:rsidR="00AE3E37" w:rsidRDefault="0005697D">
      <w:pPr>
        <w:pStyle w:val="Corp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0E6C3739" wp14:editId="688F4758">
            <wp:extent cx="3292475" cy="2514685"/>
            <wp:effectExtent l="0" t="0" r="3175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830" cy="25340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FE73B2" w14:textId="77777777" w:rsidR="0005697D" w:rsidRDefault="0005697D" w:rsidP="00C82BA7">
      <w:pPr>
        <w:pStyle w:val="Corptext"/>
        <w:spacing w:before="2"/>
        <w:ind w:left="100"/>
        <w:rPr>
          <w:rFonts w:ascii="Arial"/>
          <w:b/>
          <w:sz w:val="16"/>
        </w:rPr>
      </w:pPr>
    </w:p>
    <w:p w14:paraId="28A95812" w14:textId="288E59E7" w:rsidR="00ED1617" w:rsidRPr="002E4759" w:rsidRDefault="00ED1617" w:rsidP="00C82BA7">
      <w:pPr>
        <w:pStyle w:val="Corptext"/>
        <w:spacing w:before="2"/>
        <w:ind w:left="100"/>
        <w:rPr>
          <w:rFonts w:ascii="Arial"/>
        </w:rPr>
      </w:pPr>
      <w:r w:rsidRPr="002E4759">
        <w:rPr>
          <w:rFonts w:ascii="Arial"/>
        </w:rPr>
        <w:t xml:space="preserve">Figure 1. </w:t>
      </w:r>
      <w:r w:rsidR="00C82BA7" w:rsidRPr="002E4759">
        <w:rPr>
          <w:rFonts w:ascii="Arial" w:hAnsi="Arial" w:cs="Arial"/>
        </w:rPr>
        <w:t xml:space="preserve">The </w:t>
      </w:r>
      <w:r w:rsidR="006F2C4F">
        <w:rPr>
          <w:rFonts w:ascii="Arial" w:hAnsi="Arial" w:cs="Arial"/>
        </w:rPr>
        <w:t>bioactive compounds from</w:t>
      </w:r>
      <w:r w:rsidR="00C82BA7" w:rsidRPr="002E4759">
        <w:rPr>
          <w:rFonts w:ascii="Arial" w:hAnsi="Arial" w:cs="Arial"/>
        </w:rPr>
        <w:t xml:space="preserve"> the </w:t>
      </w:r>
      <w:r w:rsidR="00C82BA7" w:rsidRPr="002E4759">
        <w:rPr>
          <w:rFonts w:ascii="Arial" w:hAnsi="Arial" w:cs="Arial"/>
          <w:i/>
        </w:rPr>
        <w:t>N</w:t>
      </w:r>
      <w:r w:rsidR="00C96AD9" w:rsidRPr="002E4759">
        <w:rPr>
          <w:rFonts w:ascii="Arial" w:hAnsi="Arial" w:cs="Arial"/>
          <w:i/>
        </w:rPr>
        <w:t>ymphaea</w:t>
      </w:r>
      <w:r w:rsidR="00C82BA7" w:rsidRPr="002E4759">
        <w:rPr>
          <w:rFonts w:ascii="Arial" w:hAnsi="Arial" w:cs="Arial"/>
          <w:i/>
        </w:rPr>
        <w:t xml:space="preserve"> alba</w:t>
      </w:r>
      <w:r w:rsidR="00C82BA7" w:rsidRPr="002E4759">
        <w:rPr>
          <w:rFonts w:ascii="Arial" w:hAnsi="Arial" w:cs="Arial"/>
        </w:rPr>
        <w:t xml:space="preserve"> species have properties</w:t>
      </w:r>
      <w:r w:rsidR="007414B0" w:rsidRPr="002E4759">
        <w:rPr>
          <w:rFonts w:ascii="Arial" w:hAnsi="Arial" w:cs="Arial"/>
        </w:rPr>
        <w:t xml:space="preserve"> for inhibiting the α-amylase</w:t>
      </w:r>
      <w:r w:rsidR="007414B0" w:rsidRPr="002E4759">
        <w:rPr>
          <w:rFonts w:ascii="Arial"/>
        </w:rPr>
        <w:t xml:space="preserve"> enzyme</w:t>
      </w:r>
      <w:r w:rsidR="00C82BA7" w:rsidRPr="002E4759">
        <w:rPr>
          <w:rFonts w:ascii="Arial"/>
        </w:rPr>
        <w:t xml:space="preserve">. </w:t>
      </w:r>
    </w:p>
    <w:p w14:paraId="03A46D4E" w14:textId="77777777" w:rsidR="005973B9" w:rsidRDefault="005973B9" w:rsidP="00FF4E33">
      <w:pPr>
        <w:spacing w:line="204" w:lineRule="exact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5601F6BE" w14:textId="77777777" w:rsidR="005973B9" w:rsidRPr="002E4759" w:rsidRDefault="00766E22" w:rsidP="005973B9">
      <w:pPr>
        <w:pStyle w:val="Listparagraf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inorHAnsi" w:hAnsiTheme="minorHAnsi" w:cstheme="minorHAnsi"/>
          <w:sz w:val="18"/>
          <w:szCs w:val="18"/>
        </w:rPr>
      </w:pPr>
      <w:proofErr w:type="spellStart"/>
      <w:r w:rsidRPr="002E4759">
        <w:rPr>
          <w:rFonts w:asciiTheme="minorHAnsi" w:hAnsiTheme="minorHAnsi" w:cstheme="minorHAnsi"/>
          <w:sz w:val="18"/>
          <w:szCs w:val="18"/>
        </w:rPr>
        <w:t>Cudalbeanu</w:t>
      </w:r>
      <w:proofErr w:type="spellEnd"/>
      <w:r w:rsidRPr="002E4759">
        <w:rPr>
          <w:rFonts w:asciiTheme="minorHAnsi" w:hAnsiTheme="minorHAnsi" w:cstheme="minorHAnsi"/>
          <w:sz w:val="18"/>
          <w:szCs w:val="18"/>
        </w:rPr>
        <w:t xml:space="preserve">, M.; </w:t>
      </w:r>
      <w:proofErr w:type="spellStart"/>
      <w:r w:rsidRPr="002E4759">
        <w:rPr>
          <w:rFonts w:asciiTheme="minorHAnsi" w:hAnsiTheme="minorHAnsi" w:cstheme="minorHAnsi"/>
          <w:sz w:val="18"/>
          <w:szCs w:val="18"/>
        </w:rPr>
        <w:t>Ghinea</w:t>
      </w:r>
      <w:proofErr w:type="spellEnd"/>
      <w:r w:rsidRPr="002E4759">
        <w:rPr>
          <w:rFonts w:asciiTheme="minorHAnsi" w:hAnsiTheme="minorHAnsi" w:cstheme="minorHAnsi"/>
          <w:sz w:val="18"/>
          <w:szCs w:val="18"/>
        </w:rPr>
        <w:t xml:space="preserve">, I. O.; </w:t>
      </w:r>
      <w:proofErr w:type="spellStart"/>
      <w:r w:rsidRPr="002E4759">
        <w:rPr>
          <w:rFonts w:asciiTheme="minorHAnsi" w:hAnsiTheme="minorHAnsi" w:cstheme="minorHAnsi"/>
          <w:sz w:val="18"/>
          <w:szCs w:val="18"/>
        </w:rPr>
        <w:t>Furdui</w:t>
      </w:r>
      <w:proofErr w:type="spellEnd"/>
      <w:r w:rsidRPr="002E4759">
        <w:rPr>
          <w:rFonts w:asciiTheme="minorHAnsi" w:hAnsiTheme="minorHAnsi" w:cstheme="minorHAnsi"/>
          <w:sz w:val="18"/>
          <w:szCs w:val="18"/>
        </w:rPr>
        <w:t>, B.; Dah-</w:t>
      </w:r>
      <w:proofErr w:type="spellStart"/>
      <w:r w:rsidRPr="002E4759">
        <w:rPr>
          <w:rFonts w:asciiTheme="minorHAnsi" w:hAnsiTheme="minorHAnsi" w:cstheme="minorHAnsi"/>
          <w:sz w:val="18"/>
          <w:szCs w:val="18"/>
        </w:rPr>
        <w:t>Nouvlessounon</w:t>
      </w:r>
      <w:proofErr w:type="spellEnd"/>
      <w:r w:rsidRPr="002E4759">
        <w:rPr>
          <w:rFonts w:asciiTheme="minorHAnsi" w:hAnsiTheme="minorHAnsi" w:cstheme="minorHAnsi"/>
          <w:sz w:val="18"/>
          <w:szCs w:val="18"/>
        </w:rPr>
        <w:t xml:space="preserve">, D.; </w:t>
      </w:r>
      <w:proofErr w:type="spellStart"/>
      <w:r w:rsidRPr="002E4759">
        <w:rPr>
          <w:rFonts w:asciiTheme="minorHAnsi" w:hAnsiTheme="minorHAnsi" w:cstheme="minorHAnsi"/>
          <w:sz w:val="18"/>
          <w:szCs w:val="18"/>
        </w:rPr>
        <w:t>Raclea</w:t>
      </w:r>
      <w:proofErr w:type="spellEnd"/>
      <w:r w:rsidRPr="002E4759">
        <w:rPr>
          <w:rFonts w:asciiTheme="minorHAnsi" w:hAnsiTheme="minorHAnsi" w:cstheme="minorHAnsi"/>
          <w:sz w:val="18"/>
          <w:szCs w:val="18"/>
        </w:rPr>
        <w:t xml:space="preserve">, R.; Costache, T.; </w:t>
      </w:r>
      <w:proofErr w:type="spellStart"/>
      <w:r w:rsidRPr="002E4759">
        <w:rPr>
          <w:rFonts w:asciiTheme="minorHAnsi" w:hAnsiTheme="minorHAnsi" w:cstheme="minorHAnsi"/>
          <w:sz w:val="18"/>
          <w:szCs w:val="18"/>
        </w:rPr>
        <w:t>Cucolea</w:t>
      </w:r>
      <w:proofErr w:type="spellEnd"/>
      <w:r w:rsidRPr="002E4759">
        <w:rPr>
          <w:rFonts w:asciiTheme="minorHAnsi" w:hAnsiTheme="minorHAnsi" w:cstheme="minorHAnsi"/>
          <w:sz w:val="18"/>
          <w:szCs w:val="18"/>
        </w:rPr>
        <w:t xml:space="preserve">, I. E.; </w:t>
      </w:r>
      <w:proofErr w:type="spellStart"/>
      <w:r w:rsidRPr="002E4759">
        <w:rPr>
          <w:rFonts w:asciiTheme="minorHAnsi" w:hAnsiTheme="minorHAnsi" w:cstheme="minorHAnsi"/>
          <w:sz w:val="18"/>
          <w:szCs w:val="18"/>
        </w:rPr>
        <w:t>Urlan</w:t>
      </w:r>
      <w:proofErr w:type="spellEnd"/>
      <w:r w:rsidRPr="002E4759">
        <w:rPr>
          <w:rFonts w:asciiTheme="minorHAnsi" w:hAnsiTheme="minorHAnsi" w:cstheme="minorHAnsi"/>
          <w:sz w:val="18"/>
          <w:szCs w:val="18"/>
        </w:rPr>
        <w:t xml:space="preserve"> F.; </w:t>
      </w:r>
      <w:proofErr w:type="spellStart"/>
      <w:r w:rsidRPr="002E4759">
        <w:rPr>
          <w:rFonts w:asciiTheme="minorHAnsi" w:hAnsiTheme="minorHAnsi" w:cstheme="minorHAnsi"/>
          <w:sz w:val="18"/>
          <w:szCs w:val="18"/>
        </w:rPr>
        <w:t>Dinica</w:t>
      </w:r>
      <w:proofErr w:type="spellEnd"/>
      <w:r w:rsidRPr="002E4759">
        <w:rPr>
          <w:rFonts w:asciiTheme="minorHAnsi" w:hAnsiTheme="minorHAnsi" w:cstheme="minorHAnsi"/>
          <w:sz w:val="18"/>
          <w:szCs w:val="18"/>
        </w:rPr>
        <w:t>, R. M. Exploring New Antioxidant and Mineral Compounds from Nymphaea alba Wild-Grown in Danube Delta Biosphere. Molecules. 2018, 23, 1247; doi:10.3390/molecules23061247</w:t>
      </w:r>
      <w:r w:rsidR="005973B9" w:rsidRPr="002E4759">
        <w:rPr>
          <w:rFonts w:asciiTheme="minorHAnsi" w:hAnsiTheme="minorHAnsi" w:cstheme="minorHAnsi"/>
          <w:sz w:val="18"/>
          <w:szCs w:val="18"/>
        </w:rPr>
        <w:t>.</w:t>
      </w:r>
    </w:p>
    <w:p w14:paraId="2463B3B6" w14:textId="77777777" w:rsidR="005973B9" w:rsidRPr="002E4759" w:rsidRDefault="00284005" w:rsidP="005973B9">
      <w:pPr>
        <w:pStyle w:val="Listparagraf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 w:cstheme="minorHAnsi"/>
          <w:sz w:val="18"/>
          <w:szCs w:val="18"/>
        </w:rPr>
      </w:pPr>
      <w:r w:rsidRPr="002E4759">
        <w:rPr>
          <w:rFonts w:asciiTheme="minorHAnsi" w:hAnsiTheme="minorHAnsi" w:cstheme="minorHAnsi"/>
          <w:sz w:val="18"/>
          <w:szCs w:val="18"/>
        </w:rPr>
        <w:t xml:space="preserve">Liu, K.; Wang, W.; Guo, B.H.; Liu, Y.; Liu, X.-H.; Yao, H.-L.; Cheng, K. Chemical Evidence for Potent Xanthine Oxidase Inhibitory Activity of Ethyl Acetate Extract of Citrus </w:t>
      </w:r>
      <w:proofErr w:type="spellStart"/>
      <w:r w:rsidRPr="002E4759">
        <w:rPr>
          <w:rFonts w:asciiTheme="minorHAnsi" w:hAnsiTheme="minorHAnsi" w:cstheme="minorHAnsi"/>
          <w:sz w:val="18"/>
          <w:szCs w:val="18"/>
        </w:rPr>
        <w:t>aurantium</w:t>
      </w:r>
      <w:proofErr w:type="spellEnd"/>
      <w:r w:rsidRPr="002E4759">
        <w:rPr>
          <w:rFonts w:asciiTheme="minorHAnsi" w:hAnsiTheme="minorHAnsi" w:cstheme="minorHAnsi"/>
          <w:sz w:val="18"/>
          <w:szCs w:val="18"/>
        </w:rPr>
        <w:t xml:space="preserve"> L. Dried Immature Fruits. Molecules. 2016, 21, 302; doi:10.3390/molecules21030302</w:t>
      </w:r>
      <w:r w:rsidR="005973B9" w:rsidRPr="002E4759">
        <w:rPr>
          <w:rFonts w:asciiTheme="minorHAnsi" w:hAnsiTheme="minorHAnsi" w:cstheme="minorHAnsi"/>
          <w:sz w:val="18"/>
          <w:szCs w:val="18"/>
        </w:rPr>
        <w:t>.</w:t>
      </w:r>
    </w:p>
    <w:p w14:paraId="1FF21B0B" w14:textId="77777777" w:rsidR="005973B9" w:rsidRPr="002E4759" w:rsidRDefault="004722A5" w:rsidP="005973B9">
      <w:pPr>
        <w:pStyle w:val="Listparagraf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Theme="minorHAnsi" w:hAnsiTheme="minorHAnsi" w:cstheme="minorHAnsi"/>
          <w:sz w:val="18"/>
          <w:szCs w:val="18"/>
        </w:rPr>
      </w:pPr>
      <w:proofErr w:type="spellStart"/>
      <w:r w:rsidRPr="002E4759">
        <w:rPr>
          <w:rFonts w:asciiTheme="minorHAnsi" w:hAnsiTheme="minorHAnsi" w:cstheme="minorHAnsi"/>
          <w:sz w:val="18"/>
          <w:szCs w:val="18"/>
        </w:rPr>
        <w:t>Dicko</w:t>
      </w:r>
      <w:proofErr w:type="spellEnd"/>
      <w:r w:rsidRPr="002E4759">
        <w:rPr>
          <w:rFonts w:asciiTheme="minorHAnsi" w:hAnsiTheme="minorHAnsi" w:cstheme="minorHAnsi"/>
          <w:sz w:val="18"/>
          <w:szCs w:val="18"/>
        </w:rPr>
        <w:t xml:space="preserve">, M.H.; </w:t>
      </w:r>
      <w:proofErr w:type="spellStart"/>
      <w:r w:rsidRPr="002E4759">
        <w:rPr>
          <w:rFonts w:asciiTheme="minorHAnsi" w:hAnsiTheme="minorHAnsi" w:cstheme="minorHAnsi"/>
          <w:sz w:val="18"/>
          <w:szCs w:val="18"/>
        </w:rPr>
        <w:t>Hilhorst</w:t>
      </w:r>
      <w:proofErr w:type="spellEnd"/>
      <w:r w:rsidRPr="002E4759">
        <w:rPr>
          <w:rFonts w:asciiTheme="minorHAnsi" w:hAnsiTheme="minorHAnsi" w:cstheme="minorHAnsi"/>
          <w:sz w:val="18"/>
          <w:szCs w:val="18"/>
        </w:rPr>
        <w:t xml:space="preserve">, R.; Gruppen, H.; Traore, A.S.; </w:t>
      </w:r>
      <w:proofErr w:type="spellStart"/>
      <w:r w:rsidRPr="002E4759">
        <w:rPr>
          <w:rFonts w:asciiTheme="minorHAnsi" w:hAnsiTheme="minorHAnsi" w:cstheme="minorHAnsi"/>
          <w:sz w:val="18"/>
          <w:szCs w:val="18"/>
        </w:rPr>
        <w:t>Laane</w:t>
      </w:r>
      <w:proofErr w:type="spellEnd"/>
      <w:r w:rsidRPr="002E4759">
        <w:rPr>
          <w:rFonts w:asciiTheme="minorHAnsi" w:hAnsiTheme="minorHAnsi" w:cstheme="minorHAnsi"/>
          <w:sz w:val="18"/>
          <w:szCs w:val="18"/>
        </w:rPr>
        <w:t xml:space="preserve">, C.; van </w:t>
      </w:r>
      <w:proofErr w:type="spellStart"/>
      <w:r w:rsidRPr="002E4759">
        <w:rPr>
          <w:rFonts w:asciiTheme="minorHAnsi" w:hAnsiTheme="minorHAnsi" w:cstheme="minorHAnsi"/>
          <w:sz w:val="18"/>
          <w:szCs w:val="18"/>
        </w:rPr>
        <w:t>Berkel</w:t>
      </w:r>
      <w:proofErr w:type="spellEnd"/>
      <w:r w:rsidRPr="002E4759">
        <w:rPr>
          <w:rFonts w:asciiTheme="minorHAnsi" w:hAnsiTheme="minorHAnsi" w:cstheme="minorHAnsi"/>
          <w:sz w:val="18"/>
          <w:szCs w:val="18"/>
        </w:rPr>
        <w:t xml:space="preserve">, W.J.H.; </w:t>
      </w:r>
      <w:proofErr w:type="spellStart"/>
      <w:r w:rsidRPr="002E4759">
        <w:rPr>
          <w:rFonts w:asciiTheme="minorHAnsi" w:hAnsiTheme="minorHAnsi" w:cstheme="minorHAnsi"/>
          <w:sz w:val="18"/>
          <w:szCs w:val="18"/>
        </w:rPr>
        <w:t>Voragen</w:t>
      </w:r>
      <w:proofErr w:type="spellEnd"/>
      <w:r w:rsidRPr="002E4759">
        <w:rPr>
          <w:rFonts w:asciiTheme="minorHAnsi" w:hAnsiTheme="minorHAnsi" w:cstheme="minorHAnsi"/>
          <w:sz w:val="18"/>
          <w:szCs w:val="18"/>
        </w:rPr>
        <w:t>, A.G.J. Comparison of Content in Phenolic Compounds, Polyphenol Oxidase, and Peroxidase in Grains of Fifty Sorghum Varieties from Burkina Faso. J. Agric. Food Chem. 2002, 50, 3780–3788</w:t>
      </w:r>
      <w:r w:rsidR="005973B9" w:rsidRPr="002E4759">
        <w:rPr>
          <w:rFonts w:asciiTheme="minorHAnsi" w:hAnsiTheme="minorHAnsi" w:cstheme="minorHAnsi"/>
          <w:sz w:val="18"/>
          <w:szCs w:val="18"/>
        </w:rPr>
        <w:t>.</w:t>
      </w:r>
    </w:p>
    <w:p w14:paraId="26044B3E" w14:textId="77777777" w:rsidR="005D42BB" w:rsidRPr="002E4759" w:rsidRDefault="0064620A" w:rsidP="00230241">
      <w:pPr>
        <w:pStyle w:val="Listparagraf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inorHAnsi" w:hAnsiTheme="minorHAnsi" w:cstheme="minorHAnsi"/>
          <w:sz w:val="18"/>
          <w:szCs w:val="18"/>
        </w:rPr>
      </w:pPr>
      <w:proofErr w:type="spellStart"/>
      <w:r w:rsidRPr="002E4759">
        <w:rPr>
          <w:rFonts w:asciiTheme="minorHAnsi" w:hAnsiTheme="minorHAnsi" w:cstheme="minorHAnsi"/>
          <w:sz w:val="18"/>
          <w:szCs w:val="18"/>
        </w:rPr>
        <w:t>Nirmali</w:t>
      </w:r>
      <w:proofErr w:type="spellEnd"/>
      <w:r w:rsidRPr="002E475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E4759">
        <w:rPr>
          <w:rFonts w:asciiTheme="minorHAnsi" w:hAnsiTheme="minorHAnsi" w:cstheme="minorHAnsi"/>
          <w:sz w:val="18"/>
          <w:szCs w:val="18"/>
        </w:rPr>
        <w:t>Wickramaratne</w:t>
      </w:r>
      <w:proofErr w:type="spellEnd"/>
      <w:r w:rsidRPr="002E4759">
        <w:rPr>
          <w:rFonts w:asciiTheme="minorHAnsi" w:hAnsiTheme="minorHAnsi" w:cstheme="minorHAnsi"/>
          <w:sz w:val="18"/>
          <w:szCs w:val="18"/>
        </w:rPr>
        <w:t xml:space="preserve">, M.; </w:t>
      </w:r>
      <w:proofErr w:type="spellStart"/>
      <w:r w:rsidRPr="002E4759">
        <w:rPr>
          <w:rFonts w:asciiTheme="minorHAnsi" w:hAnsiTheme="minorHAnsi" w:cstheme="minorHAnsi"/>
          <w:sz w:val="18"/>
          <w:szCs w:val="18"/>
        </w:rPr>
        <w:t>Punchihewa</w:t>
      </w:r>
      <w:proofErr w:type="spellEnd"/>
      <w:r w:rsidRPr="002E4759">
        <w:rPr>
          <w:rFonts w:asciiTheme="minorHAnsi" w:hAnsiTheme="minorHAnsi" w:cstheme="minorHAnsi"/>
          <w:sz w:val="18"/>
          <w:szCs w:val="18"/>
        </w:rPr>
        <w:t xml:space="preserve">, J. C.; </w:t>
      </w:r>
      <w:proofErr w:type="spellStart"/>
      <w:r w:rsidRPr="002E4759">
        <w:rPr>
          <w:rFonts w:asciiTheme="minorHAnsi" w:hAnsiTheme="minorHAnsi" w:cstheme="minorHAnsi"/>
          <w:sz w:val="18"/>
          <w:szCs w:val="18"/>
        </w:rPr>
        <w:t>Wickramaratne</w:t>
      </w:r>
      <w:proofErr w:type="spellEnd"/>
      <w:r w:rsidRPr="002E4759">
        <w:rPr>
          <w:rFonts w:asciiTheme="minorHAnsi" w:hAnsiTheme="minorHAnsi" w:cstheme="minorHAnsi"/>
          <w:sz w:val="18"/>
          <w:szCs w:val="18"/>
        </w:rPr>
        <w:t xml:space="preserve">, D. B. M. </w:t>
      </w:r>
      <w:r w:rsidR="005D42BB" w:rsidRPr="002E4759">
        <w:rPr>
          <w:rFonts w:asciiTheme="minorHAnsi" w:hAnsiTheme="minorHAnsi" w:cstheme="minorHAnsi"/>
          <w:sz w:val="18"/>
          <w:szCs w:val="18"/>
        </w:rPr>
        <w:t xml:space="preserve">In-vitro alpha amylase inhibitory activity of the leaf extracts of </w:t>
      </w:r>
      <w:proofErr w:type="spellStart"/>
      <w:r w:rsidR="005D42BB" w:rsidRPr="002E4759">
        <w:rPr>
          <w:rFonts w:asciiTheme="minorHAnsi" w:hAnsiTheme="minorHAnsi" w:cstheme="minorHAnsi"/>
          <w:sz w:val="18"/>
          <w:szCs w:val="18"/>
        </w:rPr>
        <w:t>Adenanthera</w:t>
      </w:r>
      <w:proofErr w:type="spellEnd"/>
      <w:r w:rsidR="005D42BB" w:rsidRPr="002E475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5D42BB" w:rsidRPr="002E4759">
        <w:rPr>
          <w:rFonts w:asciiTheme="minorHAnsi" w:hAnsiTheme="minorHAnsi" w:cstheme="minorHAnsi"/>
          <w:sz w:val="18"/>
          <w:szCs w:val="18"/>
        </w:rPr>
        <w:t>pavonina</w:t>
      </w:r>
      <w:proofErr w:type="spellEnd"/>
      <w:r w:rsidRPr="002E4759">
        <w:rPr>
          <w:rFonts w:asciiTheme="minorHAnsi" w:hAnsiTheme="minorHAnsi" w:cstheme="minorHAnsi"/>
          <w:sz w:val="18"/>
          <w:szCs w:val="18"/>
        </w:rPr>
        <w:t xml:space="preserve">. </w:t>
      </w:r>
      <w:r w:rsidRPr="002E4759">
        <w:rPr>
          <w:rFonts w:asciiTheme="minorHAnsi" w:eastAsiaTheme="minorHAnsi" w:hAnsiTheme="minorHAnsi" w:cstheme="minorHAnsi"/>
          <w:color w:val="131413"/>
          <w:sz w:val="18"/>
          <w:szCs w:val="18"/>
          <w:lang w:val="en-GB"/>
        </w:rPr>
        <w:t xml:space="preserve">BMC Complementary and Alternative Medicine. 2016, 16, 466, </w:t>
      </w:r>
      <w:proofErr w:type="spellStart"/>
      <w:r w:rsidRPr="002E4759">
        <w:rPr>
          <w:rFonts w:asciiTheme="minorHAnsi" w:eastAsiaTheme="minorHAnsi" w:hAnsiTheme="minorHAnsi" w:cstheme="minorHAnsi"/>
          <w:color w:val="131413"/>
          <w:sz w:val="18"/>
          <w:szCs w:val="18"/>
          <w:lang w:val="en-GB"/>
        </w:rPr>
        <w:t>doi</w:t>
      </w:r>
      <w:proofErr w:type="spellEnd"/>
      <w:r w:rsidRPr="002E4759">
        <w:rPr>
          <w:rFonts w:asciiTheme="minorHAnsi" w:eastAsiaTheme="minorHAnsi" w:hAnsiTheme="minorHAnsi" w:cstheme="minorHAnsi"/>
          <w:color w:val="131413"/>
          <w:sz w:val="18"/>
          <w:szCs w:val="18"/>
          <w:lang w:val="en-GB"/>
        </w:rPr>
        <w:t xml:space="preserve"> 10.1186/s12906-016-1452-y. </w:t>
      </w:r>
    </w:p>
    <w:p w14:paraId="0DC73FA0" w14:textId="77777777" w:rsidR="008847DC" w:rsidRPr="006D16C1" w:rsidRDefault="006D16C1" w:rsidP="006D16C1">
      <w:pPr>
        <w:pStyle w:val="Listparagraf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2E4759">
        <w:rPr>
          <w:rFonts w:asciiTheme="minorHAnsi" w:hAnsiTheme="minorHAnsi" w:cstheme="minorHAnsi"/>
          <w:sz w:val="18"/>
          <w:szCs w:val="18"/>
        </w:rPr>
        <w:t xml:space="preserve">Li, Y.; Wan, Y.; Li, R.; Xu L.; </w:t>
      </w:r>
      <w:proofErr w:type="spellStart"/>
      <w:r w:rsidRPr="002E4759">
        <w:rPr>
          <w:rFonts w:asciiTheme="minorHAnsi" w:hAnsiTheme="minorHAnsi" w:cstheme="minorHAnsi"/>
          <w:sz w:val="18"/>
          <w:szCs w:val="18"/>
        </w:rPr>
        <w:t>Xie</w:t>
      </w:r>
      <w:proofErr w:type="spellEnd"/>
      <w:r w:rsidRPr="002E4759">
        <w:rPr>
          <w:rFonts w:asciiTheme="minorHAnsi" w:hAnsiTheme="minorHAnsi" w:cstheme="minorHAnsi"/>
          <w:sz w:val="18"/>
          <w:szCs w:val="18"/>
        </w:rPr>
        <w:t xml:space="preserve">, M.; Fu, G. Solvent extraction of caffeoylquinic acids from Artemisia </w:t>
      </w:r>
      <w:proofErr w:type="spellStart"/>
      <w:r w:rsidRPr="002E4759">
        <w:rPr>
          <w:rFonts w:asciiTheme="minorHAnsi" w:hAnsiTheme="minorHAnsi" w:cstheme="minorHAnsi"/>
          <w:sz w:val="18"/>
          <w:szCs w:val="18"/>
        </w:rPr>
        <w:t>selengensis</w:t>
      </w:r>
      <w:proofErr w:type="spellEnd"/>
      <w:r w:rsidRPr="002E4759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2E4759">
        <w:rPr>
          <w:rFonts w:asciiTheme="minorHAnsi" w:hAnsiTheme="minorHAnsi" w:cstheme="minorHAnsi"/>
          <w:sz w:val="18"/>
          <w:szCs w:val="18"/>
        </w:rPr>
        <w:t>Turcz</w:t>
      </w:r>
      <w:proofErr w:type="spellEnd"/>
      <w:r w:rsidRPr="002E4759">
        <w:rPr>
          <w:rFonts w:asciiTheme="minorHAnsi" w:hAnsiTheme="minorHAnsi" w:cstheme="minorHAnsi"/>
          <w:sz w:val="18"/>
          <w:szCs w:val="18"/>
        </w:rPr>
        <w:t xml:space="preserve"> leaves and their in vitro inhibitory activities on xanthine oxidase. Industrial Crops &amp; Products. 2018, 118, 296–301.</w:t>
      </w:r>
      <w:r>
        <w:rPr>
          <w:sz w:val="18"/>
        </w:rPr>
        <w:t xml:space="preserve"> </w:t>
      </w:r>
    </w:p>
    <w:p w14:paraId="2FE09626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5ECEC0C" w14:textId="77777777" w:rsidR="00AE3E37" w:rsidRPr="00D62425" w:rsidRDefault="00D62425">
      <w:pPr>
        <w:pStyle w:val="Corp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7D2863B2" w14:textId="77777777" w:rsidR="00AE3E37" w:rsidRDefault="00292ED9">
      <w:pPr>
        <w:pStyle w:val="Corp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BB0D94D" wp14:editId="2A8D531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E343E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1858D9E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</w:t>
      </w:r>
      <w:r w:rsidR="008320B8" w:rsidRPr="006E17E0">
        <w:object w:dxaOrig="4248" w:dyaOrig="4272" w14:anchorId="0ABA47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4pt;height:87pt" o:ole="">
            <v:imagedata r:id="rId10" o:title=""/>
          </v:shape>
          <o:OLEObject Type="Embed" ProgID="PBrush" ShapeID="_x0000_i1025" DrawAspect="Content" ObjectID="_1603700842" r:id="rId11"/>
        </w:objec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1E29E899" w14:textId="52C0518D" w:rsidR="00CB66A2" w:rsidRDefault="00C575F7" w:rsidP="00C575F7">
      <w:pPr>
        <w:spacing w:before="41" w:line="154" w:lineRule="exact"/>
        <w:ind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Miss</w:t>
      </w:r>
      <w:bookmarkStart w:id="2" w:name="_GoBack"/>
      <w:bookmarkEnd w:id="2"/>
      <w:r>
        <w:rPr>
          <w:rFonts w:ascii="Arial"/>
          <w:sz w:val="14"/>
        </w:rPr>
        <w:t xml:space="preserve"> Mihaela </w:t>
      </w:r>
      <w:proofErr w:type="spellStart"/>
      <w:r>
        <w:rPr>
          <w:rFonts w:ascii="Arial"/>
          <w:sz w:val="14"/>
        </w:rPr>
        <w:t>Cudalbeanu</w:t>
      </w:r>
      <w:proofErr w:type="spellEnd"/>
      <w:r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 her expertise in evaluation</w:t>
      </w:r>
      <w:r w:rsidR="00CB66A2">
        <w:rPr>
          <w:rFonts w:ascii="Arial"/>
          <w:sz w:val="14"/>
        </w:rPr>
        <w:t xml:space="preserve"> and investigation of plant extracts. She is PhD students in chemistry and she</w:t>
      </w:r>
      <w:r w:rsidR="00A7631C" w:rsidRPr="00A7631C">
        <w:t xml:space="preserve"> </w:t>
      </w:r>
      <w:r w:rsidR="00A7631C" w:rsidRPr="00A7631C">
        <w:rPr>
          <w:rFonts w:ascii="Arial"/>
          <w:sz w:val="14"/>
        </w:rPr>
        <w:t xml:space="preserve">has abilities in separations and chromatographic analysis of the </w:t>
      </w:r>
      <w:r w:rsidR="00A7631C">
        <w:rPr>
          <w:rFonts w:ascii="Arial"/>
          <w:sz w:val="14"/>
        </w:rPr>
        <w:t xml:space="preserve">different </w:t>
      </w:r>
      <w:r w:rsidR="00A7631C" w:rsidRPr="00A7631C">
        <w:rPr>
          <w:rFonts w:ascii="Arial"/>
          <w:sz w:val="14"/>
        </w:rPr>
        <w:t xml:space="preserve">fractions obtained from the vegetal extracts. </w:t>
      </w:r>
      <w:r w:rsidR="00A7631C">
        <w:rPr>
          <w:rFonts w:ascii="Arial"/>
          <w:sz w:val="14"/>
        </w:rPr>
        <w:t>She has</w:t>
      </w:r>
      <w:r w:rsidR="00A7631C" w:rsidRPr="00A7631C">
        <w:rPr>
          <w:rFonts w:ascii="Arial"/>
          <w:sz w:val="14"/>
        </w:rPr>
        <w:t xml:space="preserve"> also competences in the analysis of bioactive compounds, antioxidant activity, antimicrobials and in cytotoxicity studies</w:t>
      </w:r>
      <w:r w:rsidR="00A7631C">
        <w:rPr>
          <w:rFonts w:ascii="Arial"/>
          <w:sz w:val="14"/>
        </w:rPr>
        <w:t>.</w:t>
      </w:r>
    </w:p>
    <w:p w14:paraId="6AB40264" w14:textId="77777777" w:rsidR="00AE3E37" w:rsidRDefault="00AC3DE4" w:rsidP="00AC3DE4">
      <w:pPr>
        <w:spacing w:before="62"/>
        <w:ind w:right="4235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r w:rsidRPr="00AC3DE4">
        <w:rPr>
          <w:rStyle w:val="Hyperlink"/>
          <w:rFonts w:ascii="Arial"/>
          <w:sz w:val="14"/>
        </w:rPr>
        <w:t>mihaela.cudalbeanu</w:t>
      </w:r>
      <w:r>
        <w:rPr>
          <w:rStyle w:val="Hyperlink"/>
          <w:rFonts w:ascii="Arial"/>
          <w:sz w:val="14"/>
        </w:rPr>
        <w:t>@ugal.ro</w:t>
      </w:r>
    </w:p>
    <w:p w14:paraId="16CCA680" w14:textId="77777777" w:rsidR="00AE3E37" w:rsidRDefault="00292ED9">
      <w:pPr>
        <w:pStyle w:val="Corp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762E7D0" wp14:editId="1863CED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DC7E6A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441C2CC1" w14:textId="77777777" w:rsidR="00AE3E37" w:rsidRDefault="00AE3E37">
      <w:pPr>
        <w:pStyle w:val="Corptext"/>
        <w:rPr>
          <w:rFonts w:ascii="Arial"/>
          <w:sz w:val="20"/>
        </w:rPr>
      </w:pPr>
    </w:p>
    <w:p w14:paraId="07EDC10F" w14:textId="77777777" w:rsidR="00AE3E37" w:rsidRDefault="00AE3E37">
      <w:pPr>
        <w:pStyle w:val="Corptext"/>
        <w:rPr>
          <w:rFonts w:ascii="Arial"/>
          <w:sz w:val="20"/>
        </w:rPr>
      </w:pPr>
    </w:p>
    <w:p w14:paraId="471400DD" w14:textId="77777777" w:rsidR="00AE3E37" w:rsidRDefault="00AE3E37">
      <w:pPr>
        <w:pStyle w:val="Corptext"/>
        <w:spacing w:before="7"/>
        <w:rPr>
          <w:rFonts w:ascii="Arial"/>
          <w:sz w:val="29"/>
        </w:rPr>
      </w:pPr>
    </w:p>
    <w:p w14:paraId="657202C3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61E0E2EE" w14:textId="77777777" w:rsidR="008320B8" w:rsidRDefault="008320B8" w:rsidP="008320B8">
      <w:pPr>
        <w:pStyle w:val="Corptext"/>
        <w:ind w:left="100"/>
        <w:jc w:val="both"/>
      </w:pPr>
      <w:r>
        <w:t>Thank you very much for your valuable time!</w:t>
      </w:r>
    </w:p>
    <w:p w14:paraId="0B6EBA7A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1F49105" w14:textId="77777777" w:rsidR="00AE3E37" w:rsidRDefault="00AE3E37">
      <w:pPr>
        <w:pStyle w:val="Corp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7E25D2" w14:textId="77777777" w:rsidR="006E2CF5" w:rsidRDefault="006E2CF5">
      <w:r>
        <w:separator/>
      </w:r>
    </w:p>
  </w:endnote>
  <w:endnote w:type="continuationSeparator" w:id="0">
    <w:p w14:paraId="17CB1C29" w14:textId="77777777" w:rsidR="006E2CF5" w:rsidRDefault="006E2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9D901A" w14:textId="77777777" w:rsidR="00AE3E37" w:rsidRDefault="00292ED9">
    <w:pPr>
      <w:pStyle w:val="Corp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7BA0AE3" wp14:editId="67409F3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088C5E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8FDB8A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BA0AE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1E088C5E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8FDB8A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52A2C99" wp14:editId="2DFDB4F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7FC7B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51E0B3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2A2C99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047FC7B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51E0B3B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91410DD" wp14:editId="11D7E3C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062C5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DE0DC1B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1410DD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3E062C5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DE0DC1B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5C6050" w14:textId="77777777" w:rsidR="006E2CF5" w:rsidRDefault="006E2CF5">
      <w:r>
        <w:separator/>
      </w:r>
    </w:p>
  </w:footnote>
  <w:footnote w:type="continuationSeparator" w:id="0">
    <w:p w14:paraId="7B20F969" w14:textId="77777777" w:rsidR="006E2CF5" w:rsidRDefault="006E2C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AF09FC" w14:textId="77777777" w:rsidR="00AE3E37" w:rsidRDefault="00292ED9">
    <w:pPr>
      <w:pStyle w:val="Corp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3C31504" wp14:editId="5E0A14F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49F594" w14:textId="77777777" w:rsidR="00AE3E37" w:rsidRPr="00A91EA8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A91EA8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al., J Pai n Relief 2016, </w:t>
                          </w:r>
                          <w:proofErr w:type="gramStart"/>
                          <w:r w:rsidRPr="00A91EA8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5:</w:t>
                          </w:r>
                          <w:proofErr w:type="gramEnd"/>
                          <w:r w:rsidRPr="00A91EA8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3(Suppl) </w:t>
                          </w:r>
                          <w:hyperlink r:id="rId1">
                            <w:r w:rsidRPr="00A91EA8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C3150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2249F594" w14:textId="77777777" w:rsidR="00AE3E37" w:rsidRPr="00A91EA8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A91EA8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Pai n Relief 2016, </w:t>
                    </w:r>
                    <w:proofErr w:type="gramStart"/>
                    <w:r w:rsidRPr="00A91EA8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5:</w:t>
                    </w:r>
                    <w:proofErr w:type="gramEnd"/>
                    <w:r w:rsidRPr="00A91EA8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3(Suppl) </w:t>
                    </w:r>
                    <w:hyperlink r:id="rId2">
                      <w:r w:rsidRPr="00A91EA8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3D331C1" wp14:editId="182893C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1CBF0B" w14:textId="77777777" w:rsidR="00AE3E37" w:rsidRPr="005B3A56" w:rsidRDefault="00A9710C">
                          <w:pPr>
                            <w:pStyle w:val="Corp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4D9FFFC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D331C1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771CBF0B" w14:textId="77777777" w:rsidR="00AE3E37" w:rsidRPr="005B3A56" w:rsidRDefault="00A9710C">
                    <w:pPr>
                      <w:pStyle w:val="Corp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4D9FFFC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25CCE"/>
    <w:rsid w:val="0002776C"/>
    <w:rsid w:val="000446FB"/>
    <w:rsid w:val="0005697D"/>
    <w:rsid w:val="000B7A3C"/>
    <w:rsid w:val="000E25EB"/>
    <w:rsid w:val="000E2911"/>
    <w:rsid w:val="000E7E82"/>
    <w:rsid w:val="00122EAF"/>
    <w:rsid w:val="001263DF"/>
    <w:rsid w:val="001431BF"/>
    <w:rsid w:val="00184CBF"/>
    <w:rsid w:val="001E763C"/>
    <w:rsid w:val="001F4C4A"/>
    <w:rsid w:val="00284005"/>
    <w:rsid w:val="00284148"/>
    <w:rsid w:val="00292ED9"/>
    <w:rsid w:val="002E4759"/>
    <w:rsid w:val="00314AFB"/>
    <w:rsid w:val="00341980"/>
    <w:rsid w:val="00394E6C"/>
    <w:rsid w:val="003B0552"/>
    <w:rsid w:val="003B76D9"/>
    <w:rsid w:val="003D592E"/>
    <w:rsid w:val="00404E5B"/>
    <w:rsid w:val="00414F7B"/>
    <w:rsid w:val="004355DC"/>
    <w:rsid w:val="004722A5"/>
    <w:rsid w:val="004749B4"/>
    <w:rsid w:val="00494130"/>
    <w:rsid w:val="00496B6E"/>
    <w:rsid w:val="004D5594"/>
    <w:rsid w:val="004F3523"/>
    <w:rsid w:val="00523997"/>
    <w:rsid w:val="005828C9"/>
    <w:rsid w:val="0059085C"/>
    <w:rsid w:val="005973B9"/>
    <w:rsid w:val="005B3A56"/>
    <w:rsid w:val="005B5CB2"/>
    <w:rsid w:val="005D399C"/>
    <w:rsid w:val="005D42BB"/>
    <w:rsid w:val="005D61C6"/>
    <w:rsid w:val="006060CE"/>
    <w:rsid w:val="0063497F"/>
    <w:rsid w:val="0064620A"/>
    <w:rsid w:val="006633BC"/>
    <w:rsid w:val="006D16C1"/>
    <w:rsid w:val="006E2CF5"/>
    <w:rsid w:val="006F2C4F"/>
    <w:rsid w:val="0073544B"/>
    <w:rsid w:val="007414B0"/>
    <w:rsid w:val="00766E22"/>
    <w:rsid w:val="0078738A"/>
    <w:rsid w:val="0079088C"/>
    <w:rsid w:val="008320B8"/>
    <w:rsid w:val="00873DF0"/>
    <w:rsid w:val="008756E6"/>
    <w:rsid w:val="008847DC"/>
    <w:rsid w:val="008E0057"/>
    <w:rsid w:val="009B2D44"/>
    <w:rsid w:val="009B3EC8"/>
    <w:rsid w:val="009B4215"/>
    <w:rsid w:val="009D47C3"/>
    <w:rsid w:val="00A07E82"/>
    <w:rsid w:val="00A7631C"/>
    <w:rsid w:val="00A87857"/>
    <w:rsid w:val="00A91EA8"/>
    <w:rsid w:val="00A9710C"/>
    <w:rsid w:val="00AB6183"/>
    <w:rsid w:val="00AC3DE4"/>
    <w:rsid w:val="00AE3E37"/>
    <w:rsid w:val="00B02E9D"/>
    <w:rsid w:val="00B21A57"/>
    <w:rsid w:val="00B27402"/>
    <w:rsid w:val="00BA3DB4"/>
    <w:rsid w:val="00BF2127"/>
    <w:rsid w:val="00C33602"/>
    <w:rsid w:val="00C47936"/>
    <w:rsid w:val="00C575F7"/>
    <w:rsid w:val="00C579AE"/>
    <w:rsid w:val="00C82BA7"/>
    <w:rsid w:val="00C96AD9"/>
    <w:rsid w:val="00CB66A2"/>
    <w:rsid w:val="00CD6F55"/>
    <w:rsid w:val="00D62425"/>
    <w:rsid w:val="00DE3104"/>
    <w:rsid w:val="00E1052B"/>
    <w:rsid w:val="00E220B0"/>
    <w:rsid w:val="00EB21A5"/>
    <w:rsid w:val="00ED1617"/>
    <w:rsid w:val="00F23B75"/>
    <w:rsid w:val="00F37636"/>
    <w:rsid w:val="00F72EEA"/>
    <w:rsid w:val="00F8136A"/>
    <w:rsid w:val="00F84CAE"/>
    <w:rsid w:val="00FA1DD3"/>
    <w:rsid w:val="00FA6147"/>
    <w:rsid w:val="00FE4A64"/>
    <w:rsid w:val="00FF4E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D56906"/>
  <w15:docId w15:val="{B7DDB035-DB51-48D4-91FC-16E849E16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lu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lu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lu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sid w:val="00CD6F55"/>
    <w:rPr>
      <w:sz w:val="18"/>
      <w:szCs w:val="18"/>
    </w:rPr>
  </w:style>
  <w:style w:type="paragraph" w:styleId="List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Antet">
    <w:name w:val="header"/>
    <w:basedOn w:val="Normal"/>
    <w:link w:val="AntetCaracte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B3A56"/>
    <w:rPr>
      <w:rFonts w:ascii="Tw Cen MT" w:eastAsia="Tw Cen MT" w:hAnsi="Tw Cen MT" w:cs="Tw Cen MT"/>
    </w:rPr>
  </w:style>
  <w:style w:type="paragraph" w:styleId="Subsol">
    <w:name w:val="footer"/>
    <w:basedOn w:val="Normal"/>
    <w:link w:val="SubsolCaracte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B3A56"/>
    <w:rPr>
      <w:rFonts w:ascii="Tw Cen MT" w:eastAsia="Tw Cen MT" w:hAnsi="Tw Cen MT" w:cs="Tw Cen MT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deparagrafimplicit"/>
    <w:uiPriority w:val="99"/>
    <w:unhideWhenUsed/>
    <w:rsid w:val="008756E6"/>
    <w:rPr>
      <w:color w:val="0000FF" w:themeColor="hyperlink"/>
      <w:u w:val="single"/>
    </w:rPr>
  </w:style>
  <w:style w:type="character" w:customStyle="1" w:styleId="CorptextCaracter">
    <w:name w:val="Corp text Caracter"/>
    <w:basedOn w:val="Fontdeparagrafimplicit"/>
    <w:link w:val="Corp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Dan Negru</cp:lastModifiedBy>
  <cp:revision>58</cp:revision>
  <dcterms:created xsi:type="dcterms:W3CDTF">2018-11-08T09:26:00Z</dcterms:created>
  <dcterms:modified xsi:type="dcterms:W3CDTF">2018-11-14T09:41:00Z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