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36DAF" w:rsidP="00494130">
      <w:pPr>
        <w:pStyle w:val="Heading1"/>
        <w:spacing w:before="170"/>
        <w:ind w:left="0"/>
      </w:pPr>
      <w:r w:rsidRPr="00D36DAF">
        <w:rPr>
          <w:color w:val="337AB7"/>
        </w:rPr>
        <w:t>Nanoliposome-encapsulated lycopene ameliorates methotrexate-induced hepatotoxicity</w:t>
      </w:r>
    </w:p>
    <w:p w:rsidR="00AE3E37" w:rsidRDefault="00D36DAF" w:rsidP="003C6106">
      <w:pPr>
        <w:pStyle w:val="BodyText"/>
        <w:spacing w:before="73" w:line="198" w:lineRule="exact"/>
        <w:ind w:left="100" w:right="5987"/>
        <w:rPr>
          <w:rFonts w:ascii="Arial"/>
          <w:sz w:val="20"/>
        </w:rPr>
      </w:pPr>
      <w:r w:rsidRPr="00D36DAF">
        <w:rPr>
          <w:rFonts w:ascii="Arial" w:hAnsi="Arial" w:cs="Arial"/>
        </w:rPr>
        <w:t>Nenad Stojiljković, Prof, PhD</w:t>
      </w:r>
      <w:r w:rsidR="003C6106">
        <w:rPr>
          <w:rFonts w:ascii="Arial" w:hAnsi="Arial" w:cs="Arial"/>
        </w:rPr>
        <w:t>, Faculty of Medicine, University of Nis</w:t>
      </w:r>
      <w:r w:rsidRPr="00D36DAF">
        <w:rPr>
          <w:rFonts w:ascii="Arial" w:hAnsi="Arial" w:cs="Arial"/>
        </w:rPr>
        <w:t>; Sonja Ilić,</w:t>
      </w:r>
      <w:r w:rsidR="003C6106">
        <w:rPr>
          <w:rFonts w:ascii="Arial" w:hAnsi="Arial" w:cs="Arial"/>
        </w:rPr>
        <w:t xml:space="preserve"> MD, </w:t>
      </w:r>
      <w:r w:rsidRPr="00D36DAF">
        <w:rPr>
          <w:rFonts w:ascii="Arial" w:hAnsi="Arial" w:cs="Arial"/>
        </w:rPr>
        <w:t>PhD</w:t>
      </w:r>
      <w:r w:rsidR="003C6106">
        <w:rPr>
          <w:rFonts w:ascii="Arial" w:hAnsi="Arial" w:cs="Arial"/>
        </w:rPr>
        <w:t>,</w:t>
      </w:r>
      <w:r w:rsidR="003C6106" w:rsidRPr="003C6106">
        <w:rPr>
          <w:rFonts w:ascii="Arial" w:hAnsi="Arial" w:cs="Arial"/>
        </w:rPr>
        <w:t xml:space="preserve"> </w:t>
      </w:r>
      <w:r w:rsidR="003C6106">
        <w:rPr>
          <w:rFonts w:ascii="Arial" w:hAnsi="Arial" w:cs="Arial"/>
        </w:rPr>
        <w:t>Faculty of Medicine, University of Nis</w:t>
      </w:r>
      <w:r w:rsidRPr="00D36DAF">
        <w:rPr>
          <w:rFonts w:ascii="Arial" w:hAnsi="Arial" w:cs="Arial"/>
        </w:rPr>
        <w:t>; Nikola Stojanović,</w:t>
      </w:r>
      <w:r w:rsidR="003C6106">
        <w:rPr>
          <w:rFonts w:ascii="Arial" w:hAnsi="Arial" w:cs="Arial"/>
        </w:rPr>
        <w:t xml:space="preserve"> MD, </w:t>
      </w:r>
      <w:r w:rsidR="003C6106">
        <w:rPr>
          <w:rFonts w:ascii="Arial" w:hAnsi="Arial" w:cs="Arial"/>
        </w:rPr>
        <w:t>Faculty of Medicine, University of Nis</w:t>
      </w:r>
      <w:r w:rsidR="003C6106">
        <w:rPr>
          <w:rFonts w:ascii="Arial" w:hAnsi="Arial" w:cs="Arial"/>
        </w:rPr>
        <w:t>; Milan Stoiljkovi</w:t>
      </w:r>
      <w:r w:rsidR="003C6106" w:rsidRPr="00D36DAF">
        <w:rPr>
          <w:rFonts w:ascii="Arial" w:hAnsi="Arial" w:cs="Arial"/>
        </w:rPr>
        <w:t xml:space="preserve">ć, </w:t>
      </w:r>
      <w:r w:rsidR="003C6106">
        <w:rPr>
          <w:rFonts w:ascii="Arial" w:hAnsi="Arial" w:cs="Arial"/>
        </w:rPr>
        <w:t>MD,</w:t>
      </w:r>
      <w:r w:rsidR="003C6106" w:rsidRPr="00D36DAF">
        <w:rPr>
          <w:rFonts w:ascii="Arial" w:hAnsi="Arial" w:cs="Arial"/>
        </w:rPr>
        <w:t xml:space="preserve"> PhD</w:t>
      </w:r>
      <w:r w:rsidR="003C6106">
        <w:rPr>
          <w:rFonts w:ascii="Arial" w:hAnsi="Arial" w:cs="Arial"/>
        </w:rPr>
        <w:t>,</w:t>
      </w:r>
      <w:r w:rsidR="003C6106" w:rsidRPr="003C6106">
        <w:rPr>
          <w:rFonts w:ascii="Arial" w:hAnsi="Arial" w:cs="Arial"/>
        </w:rPr>
        <w:t xml:space="preserve"> </w:t>
      </w:r>
      <w:r w:rsidR="003C6106">
        <w:rPr>
          <w:rFonts w:ascii="Arial" w:hAnsi="Arial" w:cs="Arial"/>
        </w:rPr>
        <w:t>Faculty of Medicine, University of Nis</w:t>
      </w:r>
      <w:r w:rsidR="003C6106" w:rsidRPr="00D36DAF">
        <w:rPr>
          <w:rFonts w:ascii="Arial" w:hAnsi="Arial" w:cs="Arial"/>
        </w:rPr>
        <w:t xml:space="preserve">; </w:t>
      </w:r>
      <w:r w:rsidRPr="00D36DAF">
        <w:rPr>
          <w:rFonts w:ascii="Arial" w:hAnsi="Arial" w:cs="Arial"/>
        </w:rPr>
        <w:t xml:space="preserve"> Slavica Stojnev</w:t>
      </w:r>
      <w:r w:rsidR="003C6106">
        <w:rPr>
          <w:rFonts w:ascii="Arial" w:hAnsi="Arial" w:cs="Arial"/>
        </w:rPr>
        <w:t>, MD,</w:t>
      </w:r>
      <w:r w:rsidR="003C6106" w:rsidRPr="003C6106">
        <w:rPr>
          <w:rFonts w:ascii="Arial" w:hAnsi="Arial" w:cs="Arial"/>
        </w:rPr>
        <w:t xml:space="preserve"> </w:t>
      </w:r>
      <w:r w:rsidR="003C6106">
        <w:rPr>
          <w:rFonts w:ascii="Arial" w:hAnsi="Arial" w:cs="Arial"/>
        </w:rPr>
        <w:t>Faculty of Medicine, University of Nis</w:t>
      </w:r>
      <w:r w:rsidR="003C6106">
        <w:rPr>
          <w:rFonts w:ascii="Arial" w:hAnsi="Arial" w:cs="Arial"/>
        </w:rPr>
        <w: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3C6106" w:rsidRDefault="00D36DAF" w:rsidP="003C6106">
      <w:pPr>
        <w:pStyle w:val="BodyText"/>
        <w:spacing w:before="90" w:line="280" w:lineRule="auto"/>
        <w:ind w:left="100"/>
        <w:jc w:val="both"/>
      </w:pPr>
      <w:r>
        <w:t>Introduction: Nanoliposomes have the potential to increase bioavailability, stability, improve time-controlled drug releasing, enable cell-specific targeting and decrease adverse effects of drugs</w:t>
      </w:r>
      <w:r w:rsidR="00AE6E76">
        <w:t xml:space="preserve"> [1]</w:t>
      </w:r>
      <w:r>
        <w:t>. In this study, we evaluated the potential protective effect of lycopene, a potent antioxidant carotenoid</w:t>
      </w:r>
      <w:r w:rsidR="00AE6E76">
        <w:t xml:space="preserve"> [2]</w:t>
      </w:r>
      <w:r>
        <w:t>, given in free and encapsulated form in methotrexate-induced haptotoxicity in rats. Methods: Experiments were performed on 48 male Wistar rats divided into eight groups of 6 animals, treated daily by an intraperitoneal injection. MTX-group received methotrexate in a single dose (20 mg/kg) on the first day</w:t>
      </w:r>
      <w:r w:rsidR="00AE6E76">
        <w:t xml:space="preserve"> [3]</w:t>
      </w:r>
      <w:r>
        <w:t>; other experimental groups received the same dose of methotrexate and: empty nanoliposomes (10 ml/kg) (MTX-NL-group), lycopene (6 mg/kg) (MTX-LYC-group) and encapsulated lycopene (6 mg/kg) (MTX-ENL-group), for 10 days. The remaining four groups served as controls and received for 10 days: corn oil (0.2 ml/day) (C-group), empty nanoliposomes (10 ml/kg) (NL-group), lycopene (6 mg/kg) (LYC-group) and encapsulated lycopene (6 mg/kg) (ENL-group). Quantitative evaluation of structural and functional changes of liver was performed by histopathological (HE staining) and biochemical serum analyses and determination of oxidative stress parameters.</w:t>
      </w:r>
      <w:r>
        <w:t xml:space="preserve"> </w:t>
      </w:r>
      <w:r>
        <w:t>Results: Methotrexate induced severe functional and morphological alterations of liver with conspicuous disorganization of hepatic cords. Hepatocytes diffusely exhibited apoptosis and degeneration with vacuolation of the cytoplasm. Portal veins and sinusoid capillaries showed congestion. Marked inflammatory infiltrate was present in the portal tract (Figure 1E). Pathohistological findings were followed by</w:t>
      </w:r>
      <w:r>
        <w:t xml:space="preserve"> AST and ALT increase </w:t>
      </w:r>
      <w:r>
        <w:t>and disturbances of tissue antioxidant status. Application of both forms of lycopene ameliorated changes in serum AST and ALT and oxidative damage markers and markedly reversed structural changes of liver tissue induced by methotrexate. Animals that received nanoliposome-encapsulated lycopene showed higher degree of recovery then those treated with free ly</w:t>
      </w:r>
      <w:r>
        <w:t>copene (Figure 1</w:t>
      </w:r>
      <w:r>
        <w:t>).</w:t>
      </w:r>
      <w:r>
        <w:t xml:space="preserve"> </w:t>
      </w:r>
      <w:r>
        <w:t>Discussion: Encapsulated lycopene was shown to possess stronger antioxidant activity which could be possibly related to its position in the lipid bilayer and its higher stability in nanoliposomes which might prolong the presence of lycopene in circulation</w:t>
      </w:r>
      <w:r w:rsidR="00AE6E76">
        <w:t xml:space="preserve"> [4</w:t>
      </w:r>
      <w:r w:rsidR="00934407">
        <w:t xml:space="preserve">, </w:t>
      </w:r>
      <w:r w:rsidR="00AE6E76">
        <w:t>]</w:t>
      </w:r>
      <w:r>
        <w:t>. Treatment with nanoliposome-encapsulated lycopene compared to free lycopene has an advantage since it more efficiently reduced metho</w:t>
      </w:r>
      <w:r w:rsidR="003C6106">
        <w:t>trexate-induced hepatotoxicity.</w:t>
      </w:r>
    </w:p>
    <w:p w:rsidR="00AE3E37" w:rsidRDefault="00A9710C" w:rsidP="003C6106">
      <w:pPr>
        <w:pStyle w:val="BodyText"/>
        <w:spacing w:before="90" w:line="280" w:lineRule="auto"/>
        <w:ind w:left="100"/>
        <w:jc w:val="both"/>
        <w:rPr>
          <w:color w:val="BF5A14"/>
        </w:rPr>
      </w:pPr>
      <w:r>
        <w:br w:type="column"/>
      </w:r>
      <w:r>
        <w:rPr>
          <w:color w:val="BF5A14"/>
        </w:rPr>
        <w:lastRenderedPageBreak/>
        <w:t>Image</w:t>
      </w:r>
    </w:p>
    <w:p w:rsidR="00D36DAF" w:rsidRDefault="00D36DAF">
      <w:pPr>
        <w:pStyle w:val="Heading3"/>
        <w:spacing w:before="74"/>
      </w:pPr>
    </w:p>
    <w:p w:rsidR="00AE3E37" w:rsidRDefault="00E61D87">
      <w:pPr>
        <w:pStyle w:val="BodyText"/>
        <w:spacing w:before="2"/>
        <w:rPr>
          <w:rFonts w:ascii="Arial"/>
          <w:b/>
          <w:sz w:val="16"/>
        </w:rPr>
      </w:pPr>
      <w:r>
        <w:rPr>
          <w:noProof/>
        </w:rPr>
        <w:drawing>
          <wp:inline distT="0" distB="0" distL="0" distR="0">
            <wp:extent cx="3372485" cy="1268730"/>
            <wp:effectExtent l="0" t="0" r="0" b="7620"/>
            <wp:docPr id="2" name="Picture 1" descr="C:\Users\Asus\AppData\Local\Microsoft\Windows\INetCache\Content.Word\Figure 1. Histological evaluation of liver tissue (HE, 400x) in (A) C-group; (B) NL-group; (C) LYC group; (D) ENL group;  (E) MTX group; (F) MTX-NL group; (G) MTX-LYC group and (H) MT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Microsoft\Windows\INetCache\Content.Word\Figure 1. Histological evaluation of liver tissue (HE, 400x) in (A) C-group; (B) NL-group; (C) LYC group; (D) ENL group;  (E) MTX group; (F) MTX-NL group; (G) MTX-LYC group and (H) MTX-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2485" cy="1268730"/>
                    </a:xfrm>
                    <a:prstGeom prst="rect">
                      <a:avLst/>
                    </a:prstGeom>
                    <a:noFill/>
                    <a:ln>
                      <a:noFill/>
                    </a:ln>
                  </pic:spPr>
                </pic:pic>
              </a:graphicData>
            </a:graphic>
          </wp:inline>
        </w:drawing>
      </w:r>
    </w:p>
    <w:p w:rsidR="00D36DAF" w:rsidRPr="00D36DAF" w:rsidRDefault="00D36DAF" w:rsidP="00D36DAF">
      <w:pPr>
        <w:spacing w:line="204" w:lineRule="exact"/>
        <w:jc w:val="both"/>
        <w:rPr>
          <w:sz w:val="20"/>
        </w:rPr>
      </w:pPr>
      <w:r w:rsidRPr="00AE6E76">
        <w:rPr>
          <w:b/>
          <w:sz w:val="20"/>
        </w:rPr>
        <w:t>Figure 1</w:t>
      </w:r>
      <w:r w:rsidRPr="00D36DAF">
        <w:rPr>
          <w:sz w:val="20"/>
        </w:rPr>
        <w:t>. Histological evaluation of liver tissue (HE, 400x) in: (A) C-group; (B) NL-group; (C) LYC group; (D) ENL group;  (E) MTX group; (F) MTX-NL group; (G) MTX-LYC group and (H) MTX-ENL group</w:t>
      </w:r>
    </w:p>
    <w:p w:rsidR="005973B9" w:rsidRDefault="005973B9" w:rsidP="005973B9">
      <w:pPr>
        <w:spacing w:line="204" w:lineRule="exact"/>
        <w:rPr>
          <w:rFonts w:ascii="Arial"/>
          <w:b/>
          <w:sz w:val="20"/>
        </w:rPr>
      </w:pPr>
      <w:r>
        <w:rPr>
          <w:rFonts w:ascii="Arial"/>
          <w:b/>
          <w:color w:val="BF5A14"/>
          <w:sz w:val="20"/>
        </w:rPr>
        <w:br/>
        <w:t>Recent Publications</w:t>
      </w:r>
      <w:bookmarkStart w:id="0" w:name="_GoBack"/>
      <w:bookmarkEnd w:id="0"/>
    </w:p>
    <w:p w:rsidR="005973B9" w:rsidRPr="003C6106" w:rsidRDefault="003C6106" w:rsidP="003C6106">
      <w:pPr>
        <w:pStyle w:val="ListParagraph"/>
        <w:numPr>
          <w:ilvl w:val="0"/>
          <w:numId w:val="3"/>
        </w:numPr>
        <w:tabs>
          <w:tab w:val="left" w:pos="384"/>
        </w:tabs>
        <w:spacing w:before="103" w:line="216" w:lineRule="exact"/>
        <w:ind w:right="138"/>
        <w:rPr>
          <w:sz w:val="18"/>
        </w:rPr>
      </w:pPr>
      <w:r w:rsidRPr="003C6106">
        <w:rPr>
          <w:sz w:val="18"/>
        </w:rPr>
        <w:t>Akbarzadeh</w:t>
      </w:r>
      <w:r>
        <w:rPr>
          <w:sz w:val="18"/>
        </w:rPr>
        <w:t xml:space="preserve"> A, Rezaei-Sadabady R</w:t>
      </w:r>
      <w:r w:rsidRPr="003C6106">
        <w:rPr>
          <w:sz w:val="18"/>
        </w:rPr>
        <w:t>, Davaran</w:t>
      </w:r>
      <w:r>
        <w:rPr>
          <w:sz w:val="18"/>
        </w:rPr>
        <w:t xml:space="preserve"> S, Joo SW, Zarghami N</w:t>
      </w:r>
      <w:r w:rsidRPr="003C6106">
        <w:rPr>
          <w:sz w:val="18"/>
        </w:rPr>
        <w:t>,</w:t>
      </w:r>
      <w:r>
        <w:rPr>
          <w:sz w:val="18"/>
        </w:rPr>
        <w:t xml:space="preserve"> </w:t>
      </w:r>
      <w:r w:rsidRPr="003C6106">
        <w:rPr>
          <w:sz w:val="18"/>
        </w:rPr>
        <w:t>Hanifehpour</w:t>
      </w:r>
      <w:r>
        <w:rPr>
          <w:sz w:val="18"/>
        </w:rPr>
        <w:t xml:space="preserve"> Y</w:t>
      </w:r>
      <w:r w:rsidRPr="003C6106">
        <w:rPr>
          <w:sz w:val="18"/>
        </w:rPr>
        <w:t>, Samiei</w:t>
      </w:r>
      <w:r>
        <w:rPr>
          <w:sz w:val="18"/>
        </w:rPr>
        <w:t xml:space="preserve"> M</w:t>
      </w:r>
      <w:r w:rsidRPr="003C6106">
        <w:rPr>
          <w:sz w:val="18"/>
        </w:rPr>
        <w:t>, Kouhi</w:t>
      </w:r>
      <w:r>
        <w:rPr>
          <w:sz w:val="18"/>
        </w:rPr>
        <w:t xml:space="preserve"> M,</w:t>
      </w:r>
      <w:r w:rsidRPr="003C6106">
        <w:rPr>
          <w:sz w:val="18"/>
        </w:rPr>
        <w:t xml:space="preserve"> Nejati-Koshk</w:t>
      </w:r>
      <w:r>
        <w:rPr>
          <w:sz w:val="18"/>
        </w:rPr>
        <w:t xml:space="preserve"> K</w:t>
      </w:r>
      <w:r w:rsidRPr="003C6106">
        <w:rPr>
          <w:sz w:val="18"/>
        </w:rPr>
        <w:t>i</w:t>
      </w:r>
      <w:r w:rsidR="00AE6E76" w:rsidRPr="003C6106">
        <w:rPr>
          <w:sz w:val="18"/>
        </w:rPr>
        <w:t xml:space="preserve"> </w:t>
      </w:r>
      <w:r w:rsidR="00D36DAF" w:rsidRPr="003C6106">
        <w:rPr>
          <w:sz w:val="18"/>
        </w:rPr>
        <w:t>(201</w:t>
      </w:r>
      <w:r w:rsidR="00AE6E76" w:rsidRPr="003C6106">
        <w:rPr>
          <w:sz w:val="18"/>
        </w:rPr>
        <w:t>3</w:t>
      </w:r>
      <w:r w:rsidR="005973B9" w:rsidRPr="003C6106">
        <w:rPr>
          <w:sz w:val="18"/>
        </w:rPr>
        <w:t xml:space="preserve">) </w:t>
      </w:r>
      <w:r w:rsidR="00AE6E76" w:rsidRPr="003C6106">
        <w:rPr>
          <w:sz w:val="18"/>
        </w:rPr>
        <w:t>Liposome: classification, preparation, and</w:t>
      </w:r>
      <w:r w:rsidR="00AE6E76" w:rsidRPr="003C6106">
        <w:rPr>
          <w:sz w:val="18"/>
        </w:rPr>
        <w:t xml:space="preserve"> a</w:t>
      </w:r>
      <w:r w:rsidR="00AE6E76" w:rsidRPr="003C6106">
        <w:rPr>
          <w:sz w:val="18"/>
        </w:rPr>
        <w:t>pplications</w:t>
      </w:r>
      <w:r w:rsidR="00AE6E76" w:rsidRPr="003C6106">
        <w:rPr>
          <w:sz w:val="18"/>
        </w:rPr>
        <w:t xml:space="preserve"> </w:t>
      </w:r>
      <w:r w:rsidRPr="003C6106">
        <w:rPr>
          <w:rFonts w:ascii="KybjnjAdvTT7329fd89.I" w:eastAsiaTheme="minorHAnsi" w:hAnsi="KybjnjAdvTT7329fd89.I" w:cs="KybjnjAdvTT7329fd89.I"/>
          <w:sz w:val="16"/>
          <w:szCs w:val="16"/>
        </w:rPr>
        <w:t xml:space="preserve">Nanosc Res Lett </w:t>
      </w:r>
      <w:r w:rsidRPr="003C6106">
        <w:rPr>
          <w:sz w:val="18"/>
        </w:rPr>
        <w:t>8</w:t>
      </w:r>
      <w:r w:rsidR="00AE6E76" w:rsidRPr="003C6106">
        <w:rPr>
          <w:sz w:val="18"/>
        </w:rPr>
        <w:t xml:space="preserve">: </w:t>
      </w:r>
      <w:r w:rsidRPr="003C6106">
        <w:rPr>
          <w:sz w:val="18"/>
        </w:rPr>
        <w:t>102</w:t>
      </w:r>
      <w:r w:rsidR="00AE6E76" w:rsidRPr="003C6106">
        <w:rPr>
          <w:rFonts w:ascii="Arial" w:hAnsi="Arial" w:cs="Arial"/>
          <w:sz w:val="18"/>
        </w:rPr>
        <w:t>−</w:t>
      </w:r>
      <w:r w:rsidRPr="003C6106">
        <w:rPr>
          <w:sz w:val="18"/>
        </w:rPr>
        <w:t>111</w:t>
      </w:r>
      <w:r w:rsidR="00AE6E76" w:rsidRPr="003C6106">
        <w:rPr>
          <w:sz w:val="18"/>
        </w:rPr>
        <w:t>.</w:t>
      </w:r>
    </w:p>
    <w:p w:rsidR="005973B9" w:rsidRPr="00AE6E76" w:rsidRDefault="00AE6E76" w:rsidP="006A3646">
      <w:pPr>
        <w:pStyle w:val="ListParagraph"/>
        <w:numPr>
          <w:ilvl w:val="0"/>
          <w:numId w:val="3"/>
        </w:numPr>
        <w:tabs>
          <w:tab w:val="left" w:pos="384"/>
        </w:tabs>
        <w:spacing w:line="216" w:lineRule="exact"/>
        <w:ind w:right="137"/>
        <w:rPr>
          <w:sz w:val="18"/>
        </w:rPr>
      </w:pPr>
      <w:r w:rsidRPr="00AE6E76">
        <w:rPr>
          <w:sz w:val="18"/>
        </w:rPr>
        <w:t>Abu El-Saad</w:t>
      </w:r>
      <w:r w:rsidRPr="00AE6E76">
        <w:rPr>
          <w:sz w:val="18"/>
        </w:rPr>
        <w:t xml:space="preserve"> </w:t>
      </w:r>
      <w:r w:rsidRPr="00AE6E76">
        <w:rPr>
          <w:sz w:val="18"/>
        </w:rPr>
        <w:t>AM, Ibrahim</w:t>
      </w:r>
      <w:r w:rsidRPr="00AE6E76">
        <w:rPr>
          <w:sz w:val="18"/>
        </w:rPr>
        <w:t xml:space="preserve"> </w:t>
      </w:r>
      <w:r w:rsidRPr="00AE6E76">
        <w:rPr>
          <w:sz w:val="18"/>
        </w:rPr>
        <w:t>MM, AA Hazani</w:t>
      </w:r>
      <w:r>
        <w:rPr>
          <w:sz w:val="18"/>
        </w:rPr>
        <w:t xml:space="preserve"> AA,</w:t>
      </w:r>
      <w:r w:rsidRPr="00AE6E76">
        <w:rPr>
          <w:sz w:val="18"/>
        </w:rPr>
        <w:t xml:space="preserve"> El-Gaaly</w:t>
      </w:r>
      <w:r w:rsidRPr="00AE6E76">
        <w:rPr>
          <w:sz w:val="18"/>
        </w:rPr>
        <w:t xml:space="preserve"> </w:t>
      </w:r>
      <w:r>
        <w:rPr>
          <w:sz w:val="18"/>
        </w:rPr>
        <w:t xml:space="preserve">GA </w:t>
      </w:r>
      <w:r w:rsidR="005973B9" w:rsidRPr="00AE6E76">
        <w:rPr>
          <w:sz w:val="18"/>
        </w:rPr>
        <w:t>(20</w:t>
      </w:r>
      <w:r w:rsidRPr="00AE6E76">
        <w:rPr>
          <w:sz w:val="18"/>
        </w:rPr>
        <w:t>15</w:t>
      </w:r>
      <w:r w:rsidR="005973B9" w:rsidRPr="00AE6E76">
        <w:rPr>
          <w:sz w:val="18"/>
        </w:rPr>
        <w:t xml:space="preserve">) </w:t>
      </w:r>
      <w:r w:rsidRPr="00AE6E76">
        <w:rPr>
          <w:sz w:val="18"/>
        </w:rPr>
        <w:t>Lycopene attenuates dichlorvos-induced</w:t>
      </w:r>
      <w:r w:rsidRPr="00AE6E76">
        <w:rPr>
          <w:sz w:val="18"/>
        </w:rPr>
        <w:t xml:space="preserve"> </w:t>
      </w:r>
      <w:r w:rsidRPr="00AE6E76">
        <w:rPr>
          <w:sz w:val="18"/>
        </w:rPr>
        <w:t>oxidative damage and hepatotoxicity</w:t>
      </w:r>
      <w:r w:rsidRPr="00AE6E76">
        <w:rPr>
          <w:sz w:val="18"/>
        </w:rPr>
        <w:t xml:space="preserve"> </w:t>
      </w:r>
      <w:r w:rsidRPr="00AE6E76">
        <w:rPr>
          <w:sz w:val="18"/>
        </w:rPr>
        <w:t>in rats</w:t>
      </w:r>
      <w:r w:rsidR="005973B9" w:rsidRPr="00AE6E76">
        <w:rPr>
          <w:sz w:val="18"/>
        </w:rPr>
        <w:t xml:space="preserve">. </w:t>
      </w:r>
      <w:r w:rsidRPr="00AE6E76">
        <w:rPr>
          <w:sz w:val="18"/>
        </w:rPr>
        <w:t>Hum Experiment Toxicol</w:t>
      </w:r>
      <w:r w:rsidR="005973B9" w:rsidRPr="00AE6E76">
        <w:rPr>
          <w:sz w:val="18"/>
        </w:rPr>
        <w:t xml:space="preserve"> 1</w:t>
      </w:r>
      <w:r w:rsidRPr="00AE6E76">
        <w:rPr>
          <w:sz w:val="18"/>
        </w:rPr>
        <w:t>-</w:t>
      </w:r>
      <w:r w:rsidR="005973B9" w:rsidRPr="00AE6E76">
        <w:rPr>
          <w:sz w:val="18"/>
        </w:rPr>
        <w:t>1</w:t>
      </w:r>
      <w:r w:rsidRPr="00AE6E76">
        <w:rPr>
          <w:sz w:val="18"/>
        </w:rPr>
        <w:t>2</w:t>
      </w:r>
      <w:r w:rsidR="005973B9" w:rsidRPr="00AE6E76">
        <w:rPr>
          <w:sz w:val="18"/>
        </w:rPr>
        <w:t>.</w:t>
      </w:r>
    </w:p>
    <w:p w:rsidR="00AE6E76" w:rsidRPr="00D36DAF" w:rsidRDefault="00AE6E76" w:rsidP="00AE6E76">
      <w:pPr>
        <w:pStyle w:val="ListParagraph"/>
        <w:numPr>
          <w:ilvl w:val="0"/>
          <w:numId w:val="3"/>
        </w:numPr>
        <w:tabs>
          <w:tab w:val="left" w:pos="384"/>
        </w:tabs>
        <w:spacing w:before="103" w:line="216" w:lineRule="exact"/>
        <w:ind w:right="138"/>
        <w:rPr>
          <w:sz w:val="18"/>
        </w:rPr>
      </w:pPr>
      <w:r>
        <w:rPr>
          <w:sz w:val="18"/>
        </w:rPr>
        <w:t xml:space="preserve">Taskin B, </w:t>
      </w:r>
      <w:r w:rsidRPr="00D36DAF">
        <w:rPr>
          <w:sz w:val="18"/>
        </w:rPr>
        <w:t>Erdoğ</w:t>
      </w:r>
      <w:r>
        <w:rPr>
          <w:sz w:val="18"/>
        </w:rPr>
        <w:t xml:space="preserve">an MA, </w:t>
      </w:r>
      <w:r w:rsidRPr="00D36DAF">
        <w:rPr>
          <w:sz w:val="18"/>
        </w:rPr>
        <w:t>Yiğitt</w:t>
      </w:r>
      <w:r w:rsidRPr="00D36DAF">
        <w:rPr>
          <w:rFonts w:ascii="Tw Cen MT" w:hAnsi="Tw Cen MT" w:cs="Tw Cen MT"/>
          <w:sz w:val="18"/>
        </w:rPr>
        <w:t>ü</w:t>
      </w:r>
      <w:r w:rsidRPr="00D36DAF">
        <w:rPr>
          <w:sz w:val="18"/>
        </w:rPr>
        <w:t>rk</w:t>
      </w:r>
      <w:r>
        <w:rPr>
          <w:sz w:val="18"/>
        </w:rPr>
        <w:t xml:space="preserve"> G</w:t>
      </w:r>
      <w:r w:rsidRPr="00D36DAF">
        <w:rPr>
          <w:sz w:val="18"/>
        </w:rPr>
        <w:t>, G</w:t>
      </w:r>
      <w:r w:rsidRPr="00D36DAF">
        <w:rPr>
          <w:rFonts w:ascii="Tw Cen MT" w:hAnsi="Tw Cen MT" w:cs="Tw Cen MT"/>
          <w:sz w:val="18"/>
        </w:rPr>
        <w:t>ü</w:t>
      </w:r>
      <w:r w:rsidRPr="00D36DAF">
        <w:rPr>
          <w:sz w:val="18"/>
        </w:rPr>
        <w:t>nen</w:t>
      </w:r>
      <w:r w:rsidRPr="00D36DAF">
        <w:rPr>
          <w:rFonts w:ascii="Tw Cen MT" w:hAnsi="Tw Cen MT" w:cs="Tw Cen MT"/>
          <w:sz w:val="18"/>
        </w:rPr>
        <w:t>ç</w:t>
      </w:r>
      <w:r>
        <w:rPr>
          <w:rFonts w:ascii="Tw Cen MT" w:hAnsi="Tw Cen MT" w:cs="Tw Cen MT"/>
          <w:sz w:val="18"/>
        </w:rPr>
        <w:t xml:space="preserve"> D</w:t>
      </w:r>
      <w:r w:rsidRPr="00D36DAF">
        <w:rPr>
          <w:sz w:val="18"/>
        </w:rPr>
        <w:t>,</w:t>
      </w:r>
      <w:r>
        <w:rPr>
          <w:sz w:val="18"/>
        </w:rPr>
        <w:t xml:space="preserve"> </w:t>
      </w:r>
      <w:r w:rsidRPr="00D36DAF">
        <w:rPr>
          <w:sz w:val="18"/>
        </w:rPr>
        <w:t>Erbaş O (2017) Antifibrotic effect of lactulose on a methotrexate-induced liver injury model. Gastroentero Res Pract 7942531:1-5.</w:t>
      </w:r>
    </w:p>
    <w:p w:rsidR="00AE6E76" w:rsidRPr="00AE6E76" w:rsidRDefault="00AE6E76" w:rsidP="00AE6E76">
      <w:pPr>
        <w:pStyle w:val="ListParagraph"/>
        <w:numPr>
          <w:ilvl w:val="0"/>
          <w:numId w:val="3"/>
        </w:numPr>
        <w:tabs>
          <w:tab w:val="left" w:pos="384"/>
        </w:tabs>
        <w:spacing w:before="103" w:line="216" w:lineRule="exact"/>
        <w:ind w:right="138"/>
        <w:rPr>
          <w:sz w:val="18"/>
        </w:rPr>
      </w:pPr>
      <w:r>
        <w:rPr>
          <w:sz w:val="18"/>
        </w:rPr>
        <w:t xml:space="preserve">Tan C, Xue J, </w:t>
      </w:r>
      <w:r w:rsidRPr="00AE6E76">
        <w:rPr>
          <w:sz w:val="18"/>
        </w:rPr>
        <w:t xml:space="preserve"> Abba</w:t>
      </w:r>
      <w:r>
        <w:rPr>
          <w:sz w:val="18"/>
        </w:rPr>
        <w:t xml:space="preserve">s S, Feng B, </w:t>
      </w:r>
      <w:r w:rsidRPr="00AE6E76">
        <w:rPr>
          <w:sz w:val="18"/>
        </w:rPr>
        <w:t>Zhang</w:t>
      </w:r>
      <w:r>
        <w:rPr>
          <w:sz w:val="18"/>
        </w:rPr>
        <w:t xml:space="preserve"> X</w:t>
      </w:r>
      <w:r w:rsidRPr="00AE6E76">
        <w:rPr>
          <w:sz w:val="18"/>
        </w:rPr>
        <w:t xml:space="preserve">, Xia </w:t>
      </w:r>
      <w:r>
        <w:rPr>
          <w:sz w:val="18"/>
        </w:rPr>
        <w:t xml:space="preserve">S </w:t>
      </w:r>
      <w:r w:rsidRPr="00AE6E76">
        <w:rPr>
          <w:sz w:val="18"/>
        </w:rPr>
        <w:t>(201</w:t>
      </w:r>
      <w:r>
        <w:rPr>
          <w:sz w:val="18"/>
        </w:rPr>
        <w:t>4</w:t>
      </w:r>
      <w:r w:rsidRPr="00AE6E76">
        <w:rPr>
          <w:sz w:val="18"/>
        </w:rPr>
        <w:t>) Liposome as a delivery system for carotenoids: comparative antioxidant activity of carotenoids as measured by ferric reducing</w:t>
      </w:r>
      <w:r>
        <w:rPr>
          <w:sz w:val="18"/>
        </w:rPr>
        <w:t xml:space="preserve"> </w:t>
      </w:r>
      <w:r w:rsidRPr="00AE6E76">
        <w:rPr>
          <w:sz w:val="18"/>
        </w:rPr>
        <w:t xml:space="preserve">antioxidant power, </w:t>
      </w:r>
      <w:r>
        <w:rPr>
          <w:sz w:val="18"/>
        </w:rPr>
        <w:t>DPPH</w:t>
      </w:r>
      <w:r w:rsidRPr="00AE6E76">
        <w:rPr>
          <w:sz w:val="18"/>
        </w:rPr>
        <w:t xml:space="preserve"> assay and lipid peroxidation. J Agric Food Chem</w:t>
      </w:r>
      <w:r>
        <w:rPr>
          <w:sz w:val="18"/>
        </w:rPr>
        <w:t xml:space="preserve"> </w:t>
      </w:r>
      <w:r w:rsidRPr="00AE6E76">
        <w:rPr>
          <w:sz w:val="18"/>
        </w:rPr>
        <w:t>62</w:t>
      </w:r>
      <w:r>
        <w:rPr>
          <w:sz w:val="18"/>
        </w:rPr>
        <w:t>:</w:t>
      </w:r>
      <w:r w:rsidRPr="00AE6E76">
        <w:rPr>
          <w:sz w:val="18"/>
        </w:rPr>
        <w:t xml:space="preserve"> 6726−6735</w:t>
      </w:r>
      <w:r>
        <w:rPr>
          <w:sz w:val="18"/>
        </w:rPr>
        <w:t>.</w:t>
      </w:r>
    </w:p>
    <w:p w:rsidR="00AE3E37" w:rsidRPr="008756E6" w:rsidRDefault="005973B9" w:rsidP="00934407">
      <w:pPr>
        <w:pStyle w:val="BodyText"/>
        <w:spacing w:before="85" w:line="216" w:lineRule="exact"/>
        <w:ind w:left="383" w:right="138" w:hanging="293"/>
        <w:jc w:val="both"/>
      </w:pPr>
      <w:r>
        <w:rPr>
          <w:rFonts w:ascii="Calibri" w:hAnsi="Calibri"/>
        </w:rPr>
        <w:t xml:space="preserve">5. </w:t>
      </w:r>
      <w:r w:rsidR="00934407">
        <w:rPr>
          <w:rFonts w:ascii="Calibri" w:hAnsi="Calibri"/>
        </w:rPr>
        <w:t xml:space="preserve">  </w:t>
      </w:r>
      <w:r w:rsidR="00934407" w:rsidRPr="00934407">
        <w:rPr>
          <w:rFonts w:ascii="Calibri" w:hAnsi="Calibri"/>
        </w:rPr>
        <w:t>Stojiljkovic</w:t>
      </w:r>
      <w:r w:rsidR="00934407">
        <w:rPr>
          <w:rFonts w:ascii="Calibri" w:hAnsi="Calibri"/>
        </w:rPr>
        <w:t xml:space="preserve"> N</w:t>
      </w:r>
      <w:r w:rsidR="00934407" w:rsidRPr="00934407">
        <w:rPr>
          <w:rFonts w:ascii="Calibri" w:hAnsi="Calibri"/>
        </w:rPr>
        <w:t>,</w:t>
      </w:r>
      <w:r w:rsidR="00934407">
        <w:rPr>
          <w:rFonts w:ascii="Calibri" w:hAnsi="Calibri"/>
        </w:rPr>
        <w:t xml:space="preserve"> </w:t>
      </w:r>
      <w:r w:rsidR="00934407" w:rsidRPr="00934407">
        <w:rPr>
          <w:rFonts w:ascii="Calibri" w:hAnsi="Calibri"/>
        </w:rPr>
        <w:t>Ilic</w:t>
      </w:r>
      <w:r w:rsidR="00934407">
        <w:rPr>
          <w:rFonts w:ascii="Calibri" w:hAnsi="Calibri"/>
        </w:rPr>
        <w:t xml:space="preserve"> S</w:t>
      </w:r>
      <w:r w:rsidR="00934407" w:rsidRPr="00934407">
        <w:rPr>
          <w:rFonts w:ascii="Calibri" w:hAnsi="Calibri"/>
        </w:rPr>
        <w:t>,</w:t>
      </w:r>
      <w:r w:rsidR="00934407">
        <w:rPr>
          <w:rFonts w:ascii="Calibri" w:hAnsi="Calibri"/>
        </w:rPr>
        <w:t xml:space="preserve"> </w:t>
      </w:r>
      <w:r w:rsidR="00934407" w:rsidRPr="00934407">
        <w:rPr>
          <w:rFonts w:ascii="Calibri" w:hAnsi="Calibri"/>
        </w:rPr>
        <w:t>Jakovljevic</w:t>
      </w:r>
      <w:r w:rsidR="00934407">
        <w:rPr>
          <w:rFonts w:ascii="Calibri" w:hAnsi="Calibri"/>
        </w:rPr>
        <w:t xml:space="preserve"> V,</w:t>
      </w:r>
      <w:r w:rsidR="00934407" w:rsidRPr="00934407">
        <w:rPr>
          <w:rFonts w:ascii="Calibri" w:hAnsi="Calibri"/>
        </w:rPr>
        <w:t xml:space="preserve"> Stojanovic</w:t>
      </w:r>
      <w:r w:rsidR="00934407">
        <w:rPr>
          <w:rFonts w:ascii="Calibri" w:hAnsi="Calibri"/>
        </w:rPr>
        <w:t xml:space="preserve"> N</w:t>
      </w:r>
      <w:r w:rsidR="00934407" w:rsidRPr="00934407">
        <w:rPr>
          <w:rFonts w:ascii="Calibri" w:hAnsi="Calibri"/>
        </w:rPr>
        <w:t>,</w:t>
      </w:r>
      <w:r w:rsidR="00934407">
        <w:rPr>
          <w:rFonts w:ascii="Calibri" w:hAnsi="Calibri"/>
        </w:rPr>
        <w:t xml:space="preserve"> </w:t>
      </w:r>
      <w:r w:rsidR="00934407" w:rsidRPr="00934407">
        <w:rPr>
          <w:rFonts w:ascii="Calibri" w:hAnsi="Calibri"/>
        </w:rPr>
        <w:t>Stojnev</w:t>
      </w:r>
      <w:r w:rsidR="00934407">
        <w:rPr>
          <w:rFonts w:ascii="Calibri" w:hAnsi="Calibri"/>
        </w:rPr>
        <w:t xml:space="preserve"> S</w:t>
      </w:r>
      <w:r w:rsidR="00934407" w:rsidRPr="00934407">
        <w:rPr>
          <w:rFonts w:ascii="Calibri" w:hAnsi="Calibri"/>
        </w:rPr>
        <w:t>, Kocic</w:t>
      </w:r>
      <w:r w:rsidR="00934407">
        <w:rPr>
          <w:rFonts w:ascii="Calibri" w:hAnsi="Calibri"/>
        </w:rPr>
        <w:t xml:space="preserve"> H</w:t>
      </w:r>
      <w:r w:rsidR="00934407" w:rsidRPr="00934407">
        <w:rPr>
          <w:rFonts w:ascii="Calibri" w:hAnsi="Calibri"/>
        </w:rPr>
        <w:t>, Stojanovic</w:t>
      </w:r>
      <w:r w:rsidR="00934407">
        <w:rPr>
          <w:rFonts w:ascii="Calibri" w:hAnsi="Calibri"/>
        </w:rPr>
        <w:t xml:space="preserve"> M</w:t>
      </w:r>
      <w:r w:rsidR="00934407" w:rsidRPr="00934407">
        <w:rPr>
          <w:rFonts w:ascii="Calibri" w:hAnsi="Calibri"/>
        </w:rPr>
        <w:t>, Kocic</w:t>
      </w:r>
      <w:r w:rsidR="00934407">
        <w:rPr>
          <w:rFonts w:ascii="Calibri" w:hAnsi="Calibri"/>
        </w:rPr>
        <w:t xml:space="preserve"> G</w:t>
      </w:r>
      <w:r w:rsidR="00934407" w:rsidRPr="00934407">
        <w:rPr>
          <w:rFonts w:ascii="Calibri" w:hAnsi="Calibri"/>
        </w:rPr>
        <w:t xml:space="preserve"> </w:t>
      </w:r>
      <w:r w:rsidR="00934407">
        <w:rPr>
          <w:rFonts w:ascii="Calibri" w:hAnsi="Calibri"/>
        </w:rPr>
        <w:t>(20</w:t>
      </w:r>
      <w:r w:rsidR="00934407">
        <w:rPr>
          <w:rFonts w:ascii="Calibri" w:hAnsi="Calibri"/>
        </w:rPr>
        <w:t>1</w:t>
      </w:r>
      <w:r w:rsidR="00934407">
        <w:rPr>
          <w:rFonts w:ascii="Calibri" w:hAnsi="Calibri"/>
        </w:rPr>
        <w:t xml:space="preserve">8) </w:t>
      </w:r>
      <w:r w:rsidR="00934407" w:rsidRPr="00934407">
        <w:rPr>
          <w:rFonts w:ascii="Calibri" w:hAnsi="Calibri"/>
        </w:rPr>
        <w:t>The encapsulation of lycopene in nanoliposomes enhances its protective potential in methotrexate-induced kidney injury model</w:t>
      </w:r>
      <w:r>
        <w:rPr>
          <w:rFonts w:ascii="Calibri" w:hAnsi="Calibri"/>
          <w:spacing w:val="-4"/>
        </w:rPr>
        <w:t xml:space="preserve">. </w:t>
      </w:r>
      <w:r w:rsidR="00934407">
        <w:rPr>
          <w:rFonts w:ascii="Calibri" w:hAnsi="Calibri"/>
        </w:rPr>
        <w:t xml:space="preserve">Oxid Med Cell Longev </w:t>
      </w:r>
      <w:r w:rsidR="00934407" w:rsidRPr="00934407">
        <w:rPr>
          <w:rFonts w:ascii="Calibri" w:hAnsi="Calibri"/>
        </w:rPr>
        <w:t>2018:2627917</w:t>
      </w:r>
      <w:r w:rsidR="00934407">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0F9D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3C6106" w:rsidP="003C6106">
      <w:pPr>
        <w:jc w:val="both"/>
        <w:rPr>
          <w:rFonts w:ascii="Arial"/>
          <w:sz w:val="14"/>
        </w:rPr>
      </w:pPr>
      <w:r>
        <w:rPr>
          <w:rFonts w:ascii="Arial"/>
          <w:sz w:val="14"/>
        </w:rPr>
        <w:t xml:space="preserve">Nenad Stojiljkovic, associate professor at the Department of physiology, Faculty of Medicine, University of Nis, </w:t>
      </w:r>
      <w:r w:rsidRPr="003C6106">
        <w:rPr>
          <w:rFonts w:ascii="Arial"/>
          <w:sz w:val="14"/>
        </w:rPr>
        <w:t>is doing the experiments in the fields of experimental medicine, especially in the field of experimental nephrology</w:t>
      </w:r>
      <w:r>
        <w:rPr>
          <w:rFonts w:ascii="Arial"/>
          <w:sz w:val="14"/>
        </w:rPr>
        <w:t xml:space="preserve"> and hepatology</w:t>
      </w:r>
      <w:r w:rsidRPr="003C6106">
        <w:rPr>
          <w:rFonts w:ascii="Arial"/>
          <w:sz w:val="14"/>
        </w:rPr>
        <w:t xml:space="preserve">. His main work is related to the clarification of mechanism of action of different </w:t>
      </w:r>
      <w:r>
        <w:rPr>
          <w:rFonts w:ascii="Arial"/>
          <w:sz w:val="14"/>
        </w:rPr>
        <w:t>hepato/</w:t>
      </w:r>
      <w:r w:rsidRPr="003C6106">
        <w:rPr>
          <w:rFonts w:ascii="Arial"/>
          <w:sz w:val="14"/>
        </w:rPr>
        <w:t>nerph</w:t>
      </w:r>
      <w:r>
        <w:rPr>
          <w:rFonts w:ascii="Arial"/>
          <w:sz w:val="14"/>
        </w:rPr>
        <w:t>oprotecitve</w:t>
      </w:r>
      <w:r w:rsidRPr="003C6106">
        <w:rPr>
          <w:rFonts w:ascii="Arial"/>
          <w:sz w:val="14"/>
        </w:rPr>
        <w:t xml:space="preserve"> agents (antibiotics, cytostatic drugs, heavy metals, etc.) in rats. Also, he is work is aiming to discover new </w:t>
      </w:r>
      <w:r>
        <w:rPr>
          <w:rFonts w:ascii="Arial"/>
          <w:sz w:val="14"/>
        </w:rPr>
        <w:t>hepato/</w:t>
      </w:r>
      <w:r w:rsidRPr="003C6106">
        <w:rPr>
          <w:rFonts w:ascii="Arial"/>
          <w:sz w:val="14"/>
        </w:rPr>
        <w:t>nephroprotecive agents that can be used in every day clinical practice, such as naturally occurring and/or synthetic antioxidant agents.</w:t>
      </w:r>
      <w:r>
        <w:rPr>
          <w:rFonts w:ascii="Arial"/>
          <w:sz w:val="14"/>
        </w:rPr>
        <w:t xml:space="preserve"> His current work involves encapsulation of carotenoid like antioxidants in nanoliposomes and evaluation of their potential in preventing anticancer drugs-induced liver and kidney damage.</w:t>
      </w:r>
    </w:p>
    <w:p w:rsidR="00AE3E37" w:rsidRDefault="00A9710C">
      <w:pPr>
        <w:spacing w:before="62"/>
        <w:ind w:left="4217" w:right="4235"/>
        <w:jc w:val="center"/>
        <w:rPr>
          <w:rFonts w:ascii="Arial"/>
          <w:sz w:val="14"/>
        </w:rPr>
      </w:pPr>
      <w:r>
        <w:rPr>
          <w:rFonts w:ascii="Arial"/>
          <w:sz w:val="14"/>
        </w:rPr>
        <w:t xml:space="preserve">Email: </w:t>
      </w:r>
      <w:hyperlink r:id="rId10" w:history="1">
        <w:r w:rsidR="00AE6E76" w:rsidRPr="00266EDC">
          <w:rPr>
            <w:rStyle w:val="Hyperlink"/>
            <w:rFonts w:ascii="Arial"/>
            <w:sz w:val="14"/>
          </w:rPr>
          <w:t>nenstojiljkovic@gmail.com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29F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36DAF" w:rsidRDefault="00A9710C" w:rsidP="00D36DAF">
      <w:pPr>
        <w:spacing w:before="39"/>
        <w:ind w:left="100"/>
        <w:rPr>
          <w:rFonts w:ascii="Minion Pro"/>
          <w:b/>
          <w:sz w:val="20"/>
        </w:rPr>
        <w:sectPr w:rsidR="00AE3E37" w:rsidRPr="00D36DAF">
          <w:type w:val="continuous"/>
          <w:pgSz w:w="11910" w:h="16840"/>
          <w:pgMar w:top="1740" w:right="600" w:bottom="840" w:left="620" w:header="720" w:footer="720" w:gutter="0"/>
          <w:cols w:space="720"/>
        </w:sectPr>
      </w:pPr>
      <w:r w:rsidRPr="00B21A57">
        <w:rPr>
          <w:rFonts w:ascii="Minion Pro"/>
          <w:b/>
          <w:sz w:val="20"/>
        </w:rPr>
        <w:t>Notes/Comments:</w:t>
      </w:r>
      <w:r w:rsidR="00E61D87">
        <w:rPr>
          <w:rFonts w:ascii="Minion Pro"/>
          <w:b/>
          <w:sz w:val="20"/>
        </w:rPr>
        <w:t xml:space="preserve">  </w:t>
      </w:r>
      <w:r w:rsidR="00E61D87">
        <w:rPr>
          <w:rFonts w:ascii="Minion Pro"/>
          <w:sz w:val="20"/>
        </w:rPr>
        <w:t>Work</w:t>
      </w:r>
      <w:r w:rsidR="00E61D87" w:rsidRPr="00E61D87">
        <w:rPr>
          <w:rFonts w:ascii="Minion Pro"/>
          <w:sz w:val="20"/>
        </w:rPr>
        <w:t xml:space="preserve"> was funded by the project of the Faculty of Medicine, University of Ni</w:t>
      </w:r>
      <w:r w:rsidR="00E61D87" w:rsidRPr="00E61D87">
        <w:rPr>
          <w:rFonts w:ascii="Minion Pro"/>
          <w:sz w:val="20"/>
        </w:rPr>
        <w:t>š</w:t>
      </w:r>
      <w:r w:rsidR="00E61D87">
        <w:rPr>
          <w:rFonts w:ascii="Minion Pro"/>
          <w:sz w:val="20"/>
        </w:rPr>
        <w:t xml:space="preserve"> </w:t>
      </w:r>
      <w:r w:rsidR="00E61D87" w:rsidRPr="00E61D87">
        <w:rPr>
          <w:rFonts w:ascii="Minion Pro"/>
          <w:sz w:val="20"/>
        </w:rPr>
        <w:t>(Project no. INT-MFN-13).</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2F9" w:rsidRDefault="00D612F9">
      <w:r>
        <w:separator/>
      </w:r>
    </w:p>
  </w:endnote>
  <w:endnote w:type="continuationSeparator" w:id="0">
    <w:p w:rsidR="00D612F9" w:rsidRDefault="00D61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KybjnjAdvTT7329fd89.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2F9" w:rsidRDefault="00D612F9">
      <w:r>
        <w:separator/>
      </w:r>
    </w:p>
  </w:footnote>
  <w:footnote w:type="continuationSeparator" w:id="0">
    <w:p w:rsidR="00D612F9" w:rsidRDefault="00D61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C6106"/>
    <w:rsid w:val="00404E5B"/>
    <w:rsid w:val="00414F7B"/>
    <w:rsid w:val="004355DC"/>
    <w:rsid w:val="004749B4"/>
    <w:rsid w:val="00494130"/>
    <w:rsid w:val="004F3523"/>
    <w:rsid w:val="005973B9"/>
    <w:rsid w:val="005B3A56"/>
    <w:rsid w:val="006060CE"/>
    <w:rsid w:val="0063497F"/>
    <w:rsid w:val="00873DF0"/>
    <w:rsid w:val="008756E6"/>
    <w:rsid w:val="00934407"/>
    <w:rsid w:val="009B2D44"/>
    <w:rsid w:val="00A07E82"/>
    <w:rsid w:val="00A9710C"/>
    <w:rsid w:val="00AB0661"/>
    <w:rsid w:val="00AE3E37"/>
    <w:rsid w:val="00AE6E76"/>
    <w:rsid w:val="00B21A57"/>
    <w:rsid w:val="00C33602"/>
    <w:rsid w:val="00C570E8"/>
    <w:rsid w:val="00CD6F55"/>
    <w:rsid w:val="00D36DAF"/>
    <w:rsid w:val="00D612F9"/>
    <w:rsid w:val="00DE3104"/>
    <w:rsid w:val="00E61D87"/>
    <w:rsid w:val="00F72EEA"/>
    <w:rsid w:val="00F84CAE"/>
    <w:rsid w:val="00FB08A5"/>
    <w:rsid w:val="00FD1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CAF4A3-E03B-4FC1-B079-58DE304F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616211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4011151">
      <w:bodyDiv w:val="1"/>
      <w:marLeft w:val="0"/>
      <w:marRight w:val="0"/>
      <w:marTop w:val="0"/>
      <w:marBottom w:val="0"/>
      <w:divBdr>
        <w:top w:val="none" w:sz="0" w:space="0" w:color="auto"/>
        <w:left w:val="none" w:sz="0" w:space="0" w:color="auto"/>
        <w:bottom w:val="none" w:sz="0" w:space="0" w:color="auto"/>
        <w:right w:val="none" w:sz="0" w:space="0" w:color="auto"/>
      </w:divBdr>
    </w:div>
    <w:div w:id="1984772849">
      <w:bodyDiv w:val="1"/>
      <w:marLeft w:val="0"/>
      <w:marRight w:val="0"/>
      <w:marTop w:val="0"/>
      <w:marBottom w:val="0"/>
      <w:divBdr>
        <w:top w:val="none" w:sz="0" w:space="0" w:color="auto"/>
        <w:left w:val="none" w:sz="0" w:space="0" w:color="auto"/>
        <w:bottom w:val="none" w:sz="0" w:space="0" w:color="auto"/>
        <w:right w:val="none" w:sz="0" w:space="0" w:color="auto"/>
      </w:divBdr>
      <w:divsChild>
        <w:div w:id="1894611482">
          <w:marLeft w:val="0"/>
          <w:marRight w:val="0"/>
          <w:marTop w:val="180"/>
          <w:marBottom w:val="18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enstojiljkovic@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2018-08-23T11:51:00Z</dcterms:created>
  <dcterms:modified xsi:type="dcterms:W3CDTF">2018-08-23T11:51:00Z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