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985819" w14:textId="77777777" w:rsidR="00215F5A" w:rsidRDefault="00AF1E52">
      <w:pPr>
        <w:pStyle w:val="Heading1"/>
        <w:spacing w:before="170"/>
        <w:ind w:left="0"/>
      </w:pPr>
      <w:r>
        <w:rPr>
          <w:i/>
          <w:color w:val="337AB7"/>
        </w:rPr>
        <w:t>In silico</w:t>
      </w:r>
      <w:r>
        <w:rPr>
          <w:color w:val="337AB7"/>
        </w:rPr>
        <w:t xml:space="preserve"> studies of plant triterpenoids: pharmacophore-based virtual screening and toxicity evaluation</w:t>
      </w:r>
    </w:p>
    <w:p w14:paraId="0E789259" w14:textId="5F6D3761" w:rsidR="00215F5A" w:rsidRDefault="00AF1E52">
      <w:pPr>
        <w:pStyle w:val="BodyText"/>
        <w:spacing w:before="175" w:line="198" w:lineRule="exact"/>
        <w:ind w:left="100" w:right="5987"/>
      </w:pPr>
      <w:proofErr w:type="spellStart"/>
      <w:r>
        <w:rPr>
          <w:rFonts w:ascii="Arial" w:hAnsi="Arial"/>
        </w:rPr>
        <w:t>Merilin</w:t>
      </w:r>
      <w:proofErr w:type="spellEnd"/>
      <w:r>
        <w:rPr>
          <w:rFonts w:ascii="Arial" w:hAnsi="Arial"/>
        </w:rPr>
        <w:t xml:space="preserve"> Al Sharif, PhD, Institute of Biophysics and Biomedical Engineering, Bulgarian Academy of Sciences, Bulgaria</w:t>
      </w:r>
      <w:r>
        <w:rPr>
          <w:rFonts w:ascii="Arial" w:hAnsi="Arial"/>
        </w:rPr>
        <w:br/>
        <w:t xml:space="preserve">Antonia </w:t>
      </w:r>
      <w:proofErr w:type="spellStart"/>
      <w:r>
        <w:rPr>
          <w:rFonts w:ascii="Arial" w:hAnsi="Arial"/>
        </w:rPr>
        <w:t>Diukendjieva</w:t>
      </w:r>
      <w:proofErr w:type="spellEnd"/>
      <w:r>
        <w:rPr>
          <w:rFonts w:ascii="Arial" w:hAnsi="Arial"/>
        </w:rPr>
        <w:t>, Institute of Biophysics and Biomedical Engineering, Bulgarian Academy of Sciences, Bulgaria</w:t>
      </w:r>
      <w:r>
        <w:rPr>
          <w:rFonts w:ascii="Arial" w:hAnsi="Arial"/>
        </w:rPr>
        <w:br/>
      </w:r>
      <w:proofErr w:type="spellStart"/>
      <w:r>
        <w:rPr>
          <w:rFonts w:ascii="Arial" w:hAnsi="Arial"/>
        </w:rPr>
        <w:t>Vessela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Vitcheva</w:t>
      </w:r>
      <w:proofErr w:type="spellEnd"/>
      <w:r>
        <w:rPr>
          <w:rFonts w:ascii="Arial" w:hAnsi="Arial"/>
        </w:rPr>
        <w:t xml:space="preserve">, </w:t>
      </w:r>
      <w:r w:rsidR="00B12BCB">
        <w:rPr>
          <w:rFonts w:ascii="Arial" w:hAnsi="Arial"/>
        </w:rPr>
        <w:t xml:space="preserve">PhD, </w:t>
      </w:r>
      <w:r>
        <w:rPr>
          <w:rFonts w:ascii="Arial" w:hAnsi="Arial"/>
        </w:rPr>
        <w:t>Medical University of Sofia, Bulgaria</w:t>
      </w:r>
      <w:r>
        <w:rPr>
          <w:rFonts w:ascii="Arial" w:hAnsi="Arial"/>
        </w:rPr>
        <w:br/>
      </w:r>
      <w:bookmarkStart w:id="0" w:name="baff0005"/>
      <w:bookmarkEnd w:id="0"/>
      <w:proofErr w:type="spellStart"/>
      <w:r w:rsidR="005B1E84" w:rsidRPr="005B1E84">
        <w:rPr>
          <w:rFonts w:ascii="Arial" w:hAnsi="Arial"/>
        </w:rPr>
        <w:t>Denitsa</w:t>
      </w:r>
      <w:proofErr w:type="spellEnd"/>
      <w:r w:rsidR="005B1E84" w:rsidRPr="005B1E84">
        <w:rPr>
          <w:rFonts w:ascii="Arial" w:hAnsi="Arial"/>
        </w:rPr>
        <w:t xml:space="preserve"> </w:t>
      </w:r>
      <w:proofErr w:type="spellStart"/>
      <w:r w:rsidR="005B1E84" w:rsidRPr="005B1E84">
        <w:rPr>
          <w:rFonts w:ascii="Arial" w:hAnsi="Arial"/>
        </w:rPr>
        <w:t>Alua</w:t>
      </w:r>
      <w:r w:rsidRPr="005B1E84">
        <w:rPr>
          <w:rFonts w:ascii="Arial" w:hAnsi="Arial"/>
        </w:rPr>
        <w:t>ni</w:t>
      </w:r>
      <w:proofErr w:type="spellEnd"/>
      <w:r>
        <w:rPr>
          <w:rFonts w:ascii="Arial" w:hAnsi="Arial"/>
        </w:rPr>
        <w:t xml:space="preserve">, </w:t>
      </w:r>
      <w:r w:rsidR="00B12BCB">
        <w:rPr>
          <w:rFonts w:ascii="Arial" w:hAnsi="Arial"/>
        </w:rPr>
        <w:t xml:space="preserve">PhD, </w:t>
      </w:r>
      <w:r>
        <w:rPr>
          <w:rFonts w:ascii="Arial" w:hAnsi="Arial"/>
        </w:rPr>
        <w:t>Medical University of Sofia, Bulgaria</w:t>
      </w:r>
      <w:r>
        <w:rPr>
          <w:rFonts w:ascii="Arial" w:hAnsi="Arial"/>
        </w:rPr>
        <w:br/>
      </w:r>
      <w:r w:rsidR="005B1E84" w:rsidRPr="005B1E84">
        <w:rPr>
          <w:rFonts w:ascii="Arial" w:hAnsi="Arial"/>
        </w:rPr>
        <w:t xml:space="preserve">Virginia </w:t>
      </w:r>
      <w:proofErr w:type="spellStart"/>
      <w:r w:rsidR="005B1E84" w:rsidRPr="005B1E84">
        <w:rPr>
          <w:rFonts w:ascii="Arial" w:hAnsi="Arial"/>
        </w:rPr>
        <w:t>Tzankova</w:t>
      </w:r>
      <w:proofErr w:type="spellEnd"/>
      <w:r>
        <w:rPr>
          <w:rFonts w:ascii="Arial" w:hAnsi="Arial"/>
        </w:rPr>
        <w:t xml:space="preserve">, </w:t>
      </w:r>
      <w:r w:rsidR="006F6FED">
        <w:rPr>
          <w:rFonts w:ascii="Arial" w:hAnsi="Arial"/>
        </w:rPr>
        <w:t xml:space="preserve">PhD, </w:t>
      </w:r>
      <w:r>
        <w:rPr>
          <w:rFonts w:ascii="Arial" w:hAnsi="Arial"/>
        </w:rPr>
        <w:t>Medical University of Sofia, Bulgaria</w:t>
      </w:r>
      <w:r>
        <w:rPr>
          <w:rFonts w:ascii="Arial" w:hAnsi="Arial"/>
        </w:rPr>
        <w:br/>
      </w:r>
      <w:proofErr w:type="spellStart"/>
      <w:r>
        <w:rPr>
          <w:rFonts w:ascii="Arial" w:hAnsi="Arial"/>
        </w:rPr>
        <w:t>Petko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Alov</w:t>
      </w:r>
      <w:proofErr w:type="spellEnd"/>
      <w:r>
        <w:rPr>
          <w:rFonts w:ascii="Arial" w:hAnsi="Arial"/>
        </w:rPr>
        <w:t>, Institute of Biophysics and Biomedical Engineering, Bulgarian Academy of Sciences, Bulgaria</w:t>
      </w:r>
      <w:r>
        <w:rPr>
          <w:rFonts w:ascii="Arial" w:hAnsi="Arial"/>
        </w:rPr>
        <w:br/>
      </w:r>
      <w:proofErr w:type="spellStart"/>
      <w:r>
        <w:rPr>
          <w:rFonts w:ascii="Arial" w:hAnsi="Arial"/>
        </w:rPr>
        <w:t>Ivanka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Tsakovska</w:t>
      </w:r>
      <w:proofErr w:type="spellEnd"/>
      <w:r>
        <w:rPr>
          <w:rFonts w:ascii="Arial" w:hAnsi="Arial"/>
        </w:rPr>
        <w:t xml:space="preserve">, </w:t>
      </w:r>
      <w:r w:rsidR="00B12BCB">
        <w:rPr>
          <w:rFonts w:ascii="Arial" w:hAnsi="Arial"/>
        </w:rPr>
        <w:t xml:space="preserve">PhD, </w:t>
      </w:r>
      <w:r>
        <w:rPr>
          <w:rFonts w:ascii="Arial" w:hAnsi="Arial"/>
        </w:rPr>
        <w:t>Institute of Biophysics and Biomedical Engineering, Bulgarian Academy of Sciences, Bulgaria</w:t>
      </w:r>
      <w:r>
        <w:rPr>
          <w:rFonts w:ascii="Arial" w:hAnsi="Arial"/>
        </w:rPr>
        <w:br/>
      </w:r>
      <w:proofErr w:type="spellStart"/>
      <w:r>
        <w:rPr>
          <w:rFonts w:ascii="Arial" w:hAnsi="Arial"/>
        </w:rPr>
        <w:t>Ilza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Pajeva</w:t>
      </w:r>
      <w:proofErr w:type="spellEnd"/>
      <w:r>
        <w:rPr>
          <w:rFonts w:ascii="Arial" w:hAnsi="Arial"/>
        </w:rPr>
        <w:t>,</w:t>
      </w:r>
      <w:r w:rsidR="00DB6CF0">
        <w:rPr>
          <w:rFonts w:ascii="Arial" w:hAnsi="Arial"/>
        </w:rPr>
        <w:t xml:space="preserve"> </w:t>
      </w:r>
      <w:r w:rsidR="00B12BCB">
        <w:rPr>
          <w:rFonts w:ascii="Arial" w:hAnsi="Arial"/>
        </w:rPr>
        <w:t>DSc,</w:t>
      </w:r>
      <w:r>
        <w:rPr>
          <w:rFonts w:ascii="Arial" w:hAnsi="Arial"/>
        </w:rPr>
        <w:t xml:space="preserve"> Institute of Biophysics and Biomedical Engineering, Bulgarian Academy of Sciences, Bulgaria</w:t>
      </w:r>
    </w:p>
    <w:p w14:paraId="42931CF3" w14:textId="6FEAC087" w:rsidR="00215F5A" w:rsidRDefault="00215F5A">
      <w:pPr>
        <w:spacing w:before="175" w:line="198" w:lineRule="exact"/>
        <w:rPr>
          <w:rFonts w:ascii="Arial" w:hAnsi="Arial"/>
          <w:sz w:val="18"/>
          <w:szCs w:val="18"/>
        </w:rPr>
      </w:pPr>
    </w:p>
    <w:p w14:paraId="20CA6E18" w14:textId="77777777" w:rsidR="00215F5A" w:rsidRDefault="00215F5A">
      <w:pPr>
        <w:sectPr w:rsidR="00215F5A">
          <w:headerReference w:type="default" r:id="rId8"/>
          <w:pgSz w:w="11906" w:h="16838"/>
          <w:pgMar w:top="1740" w:right="600" w:bottom="840" w:left="620" w:header="541" w:footer="642" w:gutter="0"/>
          <w:cols w:space="720"/>
          <w:formProt w:val="0"/>
          <w:docGrid w:linePitch="312" w:charSpace="-2049"/>
        </w:sectPr>
      </w:pPr>
    </w:p>
    <w:p w14:paraId="10EE6411" w14:textId="491F1B57" w:rsidR="00215F5A" w:rsidRDefault="00AF1E52">
      <w:pPr>
        <w:pStyle w:val="Heading3"/>
        <w:spacing w:before="147"/>
        <w:jc w:val="both"/>
      </w:pPr>
      <w:r>
        <w:rPr>
          <w:color w:val="BF5A14"/>
        </w:rPr>
        <w:t>Abstract (300 word limit)</w:t>
      </w:r>
    </w:p>
    <w:p w14:paraId="6A7EE8B6" w14:textId="75E14803" w:rsidR="0043767C" w:rsidRDefault="00AF1E52">
      <w:pPr>
        <w:pStyle w:val="BodyText"/>
        <w:spacing w:before="90" w:line="278" w:lineRule="auto"/>
        <w:ind w:left="100"/>
        <w:jc w:val="both"/>
      </w:pPr>
      <w:r w:rsidRPr="0043767C">
        <w:rPr>
          <w:b/>
        </w:rPr>
        <w:t>Statement of the Problem:</w:t>
      </w:r>
      <w:r>
        <w:t xml:space="preserve"> </w:t>
      </w:r>
      <w:r w:rsidR="00FE63D2" w:rsidRPr="00B12BCB">
        <w:t>The metabolic syndrome (MS) represents a complex pathological condition featured by hypertension, type 2 diabetes</w:t>
      </w:r>
      <w:r w:rsidR="00D27008">
        <w:t xml:space="preserve"> (T2D)</w:t>
      </w:r>
      <w:r w:rsidR="00FE63D2" w:rsidRPr="00B12BCB">
        <w:t xml:space="preserve"> and obesity. It is among the risk factors for development of cardiovascular diseases</w:t>
      </w:r>
      <w:r w:rsidR="00D27008">
        <w:t xml:space="preserve"> (CVD)</w:t>
      </w:r>
      <w:r w:rsidR="00FE63D2" w:rsidRPr="00B12BCB">
        <w:t xml:space="preserve"> and is characterized by increasing global prevalence. </w:t>
      </w:r>
      <w:r>
        <w:t>Modulation of the nuclear peroxisome proliferator-activated receptor γ (</w:t>
      </w:r>
      <w:proofErr w:type="spellStart"/>
      <w:r>
        <w:t>PPARγ</w:t>
      </w:r>
      <w:proofErr w:type="spellEnd"/>
      <w:r>
        <w:t xml:space="preserve">) by natural compounds is considered a promising pharmacological strategy for targeting the MS. Within this study we aimed at applying a virtual screening protocol for investigating the potential of triterpenoid </w:t>
      </w:r>
      <w:proofErr w:type="spellStart"/>
      <w:r>
        <w:t>sapogenins</w:t>
      </w:r>
      <w:proofErr w:type="spellEnd"/>
      <w:r>
        <w:t xml:space="preserve"> of natural origin to act as </w:t>
      </w:r>
      <w:proofErr w:type="spellStart"/>
      <w:r>
        <w:t>PPARγ</w:t>
      </w:r>
      <w:proofErr w:type="spellEnd"/>
      <w:r>
        <w:t xml:space="preserve"> partial agonists. Furthermore an </w:t>
      </w:r>
      <w:r>
        <w:rPr>
          <w:i/>
        </w:rPr>
        <w:t>in silico</w:t>
      </w:r>
      <w:r>
        <w:t xml:space="preserve"> estimation of their safety profile has been performed. </w:t>
      </w:r>
    </w:p>
    <w:p w14:paraId="61B1462C" w14:textId="576197DD" w:rsidR="0043767C" w:rsidRDefault="00AF1E52" w:rsidP="003E76B0">
      <w:pPr>
        <w:pStyle w:val="BodyText"/>
        <w:spacing w:before="90" w:line="278" w:lineRule="auto"/>
        <w:ind w:left="101"/>
        <w:jc w:val="both"/>
      </w:pPr>
      <w:r w:rsidRPr="0043767C">
        <w:rPr>
          <w:b/>
        </w:rPr>
        <w:t>Methodology &amp; Theoretical Orientation:</w:t>
      </w:r>
      <w:r>
        <w:t xml:space="preserve"> An in-house virtual library with more than 70 triterpenoids has been screened by a pharmacophore-based docking of the unique </w:t>
      </w:r>
      <w:proofErr w:type="spellStart"/>
      <w:r>
        <w:t>aglycons</w:t>
      </w:r>
      <w:proofErr w:type="spellEnd"/>
      <w:r>
        <w:t xml:space="preserve"> in the </w:t>
      </w:r>
      <w:proofErr w:type="spellStart"/>
      <w:r>
        <w:t>PPARγ</w:t>
      </w:r>
      <w:proofErr w:type="spellEnd"/>
      <w:r>
        <w:t xml:space="preserve"> binding pocket using MOE software (v. 2016.0802). The toxicity of these </w:t>
      </w:r>
      <w:proofErr w:type="spellStart"/>
      <w:r>
        <w:t>aglycons</w:t>
      </w:r>
      <w:proofErr w:type="spellEnd"/>
      <w:r>
        <w:t xml:space="preserve"> was evaluated using Derek Nexus kno</w:t>
      </w:r>
      <w:r w:rsidR="0043767C">
        <w:t>wledge-based system (v.5.0.1.).</w:t>
      </w:r>
    </w:p>
    <w:p w14:paraId="22EBF2CF" w14:textId="77777777" w:rsidR="0043767C" w:rsidRDefault="00AF1E52" w:rsidP="003E76B0">
      <w:pPr>
        <w:pStyle w:val="BodyText"/>
        <w:spacing w:before="90" w:line="278" w:lineRule="auto"/>
        <w:ind w:left="101"/>
        <w:jc w:val="both"/>
      </w:pPr>
      <w:r w:rsidRPr="0043767C">
        <w:rPr>
          <w:b/>
        </w:rPr>
        <w:t>Findings:</w:t>
      </w:r>
      <w:r>
        <w:t xml:space="preserve"> Potential partial agonist-like binding modes were evaluated based on the binding energy scores of the protein-ligand (PL) complexes resulting from the docking simulation. The PL interactions</w:t>
      </w:r>
      <w:r w:rsidR="0063723C">
        <w:t xml:space="preserve"> and poses</w:t>
      </w:r>
      <w:r>
        <w:t xml:space="preserve"> relevant to the </w:t>
      </w:r>
      <w:proofErr w:type="spellStart"/>
      <w:r>
        <w:t>PPARγ</w:t>
      </w:r>
      <w:proofErr w:type="spellEnd"/>
      <w:r>
        <w:t xml:space="preserve"> partial agonists’ binding pattern were predicted. Potential toxicity effects, including chromosome damage and developmental toxicity, were outlined for particular triterpenoid </w:t>
      </w:r>
      <w:proofErr w:type="spellStart"/>
      <w:r>
        <w:t>aglycons</w:t>
      </w:r>
      <w:proofErr w:type="spellEnd"/>
      <w:r>
        <w:t xml:space="preserve">. </w:t>
      </w:r>
    </w:p>
    <w:p w14:paraId="24818F62" w14:textId="27329246" w:rsidR="00215F5A" w:rsidRDefault="00AF1E52" w:rsidP="003E76B0">
      <w:pPr>
        <w:pStyle w:val="BodyText"/>
        <w:spacing w:before="90" w:line="278" w:lineRule="auto"/>
        <w:ind w:left="101"/>
        <w:jc w:val="both"/>
      </w:pPr>
      <w:r w:rsidRPr="0043767C">
        <w:rPr>
          <w:b/>
        </w:rPr>
        <w:t>Conclusion &amp; Significa</w:t>
      </w:r>
      <w:r w:rsidR="003B4C16" w:rsidRPr="0043767C">
        <w:rPr>
          <w:b/>
        </w:rPr>
        <w:t>nce:</w:t>
      </w:r>
      <w:r w:rsidR="003B4C16">
        <w:t xml:space="preserve"> The results of this study </w:t>
      </w:r>
      <w:r w:rsidR="0063723C">
        <w:t xml:space="preserve">contribute to the mechanistic explanation at molecular level of </w:t>
      </w:r>
      <w:r>
        <w:t>the effects of triterpenoid</w:t>
      </w:r>
      <w:r w:rsidR="003E76B0">
        <w:t xml:space="preserve"> </w:t>
      </w:r>
      <w:proofErr w:type="spellStart"/>
      <w:r>
        <w:t>saponins</w:t>
      </w:r>
      <w:proofErr w:type="spellEnd"/>
      <w:r>
        <w:t>/</w:t>
      </w:r>
      <w:proofErr w:type="spellStart"/>
      <w:r>
        <w:t>sapogenins</w:t>
      </w:r>
      <w:proofErr w:type="spellEnd"/>
      <w:r>
        <w:t xml:space="preserve"> by a potential </w:t>
      </w:r>
      <w:proofErr w:type="spellStart"/>
      <w:r>
        <w:t>PPARγ</w:t>
      </w:r>
      <w:proofErr w:type="spellEnd"/>
      <w:r>
        <w:t xml:space="preserve">-mediated mode of action. This research </w:t>
      </w:r>
      <w:r w:rsidR="0063723C">
        <w:t xml:space="preserve">can direct </w:t>
      </w:r>
      <w:r>
        <w:t>further studies of naturally-derived triterpenoids as potential MS modulators.</w:t>
      </w:r>
    </w:p>
    <w:p w14:paraId="196666B7" w14:textId="3DD64ECD" w:rsidR="00215F5A" w:rsidRDefault="00AF1E52" w:rsidP="003E76B0">
      <w:pPr>
        <w:pStyle w:val="BodyText"/>
        <w:spacing w:before="90" w:line="278" w:lineRule="auto"/>
        <w:ind w:left="101"/>
        <w:jc w:val="both"/>
      </w:pPr>
      <w:r w:rsidRPr="0043767C">
        <w:rPr>
          <w:b/>
        </w:rPr>
        <w:t>Acknowledgements:</w:t>
      </w:r>
      <w:r>
        <w:t xml:space="preserve"> Support from the National Science Fund of Bulgaria (grant DM 01/1/2016), COST Action CM1407 and the matching project of the National Science Fund of Bulgaria </w:t>
      </w:r>
      <w:r w:rsidR="007675C9">
        <w:br/>
      </w:r>
      <w:r>
        <w:t>(No. DCOST 01/11/2016) is acknowledged.</w:t>
      </w:r>
    </w:p>
    <w:p w14:paraId="5A244BCC" w14:textId="02B9DF61" w:rsidR="00DF0264" w:rsidRDefault="00DF0264" w:rsidP="003E76B0">
      <w:pPr>
        <w:pStyle w:val="BodyText"/>
        <w:spacing w:before="90" w:line="278" w:lineRule="auto"/>
        <w:ind w:left="101"/>
        <w:jc w:val="both"/>
      </w:pPr>
    </w:p>
    <w:p w14:paraId="6109CEDD" w14:textId="5DC40A7F" w:rsidR="00DF0264" w:rsidRDefault="00DF0264" w:rsidP="00DF0264">
      <w:pPr>
        <w:pStyle w:val="Heading3"/>
        <w:spacing w:before="74"/>
        <w:rPr>
          <w:color w:val="BF5A14"/>
        </w:rPr>
      </w:pPr>
      <w:r>
        <w:rPr>
          <w:b w:val="0"/>
          <w:noProof/>
          <w:sz w:val="16"/>
        </w:rPr>
        <w:drawing>
          <wp:anchor distT="0" distB="7620" distL="114300" distR="114300" simplePos="0" relativeHeight="3" behindDoc="0" locked="0" layoutInCell="1" allowOverlap="1" wp14:anchorId="117B13FF" wp14:editId="02833471">
            <wp:simplePos x="0" y="0"/>
            <wp:positionH relativeFrom="margin">
              <wp:posOffset>3583750</wp:posOffset>
            </wp:positionH>
            <wp:positionV relativeFrom="paragraph">
              <wp:posOffset>360680</wp:posOffset>
            </wp:positionV>
            <wp:extent cx="3164205" cy="1573530"/>
            <wp:effectExtent l="0" t="0" r="0" b="7620"/>
            <wp:wrapTopAndBottom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1573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1E52">
        <w:rPr>
          <w:color w:val="BF5A14"/>
        </w:rPr>
        <w:t>Image</w:t>
      </w:r>
    </w:p>
    <w:p w14:paraId="07161702" w14:textId="499F00D4" w:rsidR="00215F5A" w:rsidRPr="00DF0264" w:rsidRDefault="00AF1E52" w:rsidP="00DF0264">
      <w:pPr>
        <w:pStyle w:val="Heading3"/>
        <w:spacing w:before="74"/>
      </w:pPr>
      <w:r>
        <w:rPr>
          <w:color w:val="BF5A14"/>
        </w:rPr>
        <w:t>Recent Publications (minimum 5)</w:t>
      </w:r>
    </w:p>
    <w:p w14:paraId="5A021D2E" w14:textId="087589E2" w:rsidR="00DF0264" w:rsidRDefault="00DF0264" w:rsidP="00DF0264">
      <w:pPr>
        <w:pStyle w:val="BodyText"/>
        <w:numPr>
          <w:ilvl w:val="0"/>
          <w:numId w:val="1"/>
        </w:numPr>
        <w:spacing w:before="85" w:line="216" w:lineRule="exact"/>
        <w:ind w:right="138"/>
        <w:jc w:val="both"/>
        <w:rPr>
          <w:rFonts w:ascii="Calibri" w:hAnsi="Calibri"/>
        </w:rPr>
      </w:pPr>
      <w:r>
        <w:rPr>
          <w:rFonts w:ascii="Calibri" w:hAnsi="Calibri"/>
        </w:rPr>
        <w:t xml:space="preserve">Al Sharif M, </w:t>
      </w:r>
      <w:proofErr w:type="spellStart"/>
      <w:r>
        <w:rPr>
          <w:rFonts w:ascii="Calibri" w:hAnsi="Calibri"/>
        </w:rPr>
        <w:t>Alov</w:t>
      </w:r>
      <w:proofErr w:type="spellEnd"/>
      <w:r>
        <w:rPr>
          <w:rFonts w:ascii="Calibri" w:hAnsi="Calibri"/>
        </w:rPr>
        <w:t xml:space="preserve"> P, </w:t>
      </w:r>
      <w:proofErr w:type="spellStart"/>
      <w:r>
        <w:rPr>
          <w:rFonts w:ascii="Calibri" w:hAnsi="Calibri"/>
        </w:rPr>
        <w:t>Diukendjieva</w:t>
      </w:r>
      <w:proofErr w:type="spellEnd"/>
      <w:r>
        <w:rPr>
          <w:rFonts w:ascii="Calibri" w:hAnsi="Calibri"/>
        </w:rPr>
        <w:t xml:space="preserve"> A, </w:t>
      </w:r>
      <w:proofErr w:type="spellStart"/>
      <w:r>
        <w:rPr>
          <w:rFonts w:ascii="Calibri" w:hAnsi="Calibri"/>
        </w:rPr>
        <w:t>Vitcheva</w:t>
      </w:r>
      <w:proofErr w:type="spellEnd"/>
      <w:r>
        <w:rPr>
          <w:rFonts w:ascii="Calibri" w:hAnsi="Calibri"/>
        </w:rPr>
        <w:t xml:space="preserve"> V, </w:t>
      </w:r>
      <w:proofErr w:type="spellStart"/>
      <w:r>
        <w:rPr>
          <w:rFonts w:ascii="Calibri" w:hAnsi="Calibri"/>
        </w:rPr>
        <w:t>Simeonova</w:t>
      </w:r>
      <w:proofErr w:type="spellEnd"/>
      <w:r>
        <w:rPr>
          <w:rFonts w:ascii="Calibri" w:hAnsi="Calibri"/>
        </w:rPr>
        <w:t xml:space="preserve"> R, </w:t>
      </w:r>
      <w:proofErr w:type="spellStart"/>
      <w:r>
        <w:rPr>
          <w:rFonts w:ascii="Calibri" w:hAnsi="Calibri"/>
        </w:rPr>
        <w:t>Krasteva</w:t>
      </w:r>
      <w:proofErr w:type="spellEnd"/>
      <w:r>
        <w:rPr>
          <w:rFonts w:ascii="Calibri" w:hAnsi="Calibri"/>
        </w:rPr>
        <w:t xml:space="preserve"> I, </w:t>
      </w:r>
      <w:proofErr w:type="spellStart"/>
      <w:r>
        <w:rPr>
          <w:rFonts w:ascii="Calibri" w:hAnsi="Calibri"/>
        </w:rPr>
        <w:t>Shkondrov</w:t>
      </w:r>
      <w:proofErr w:type="spellEnd"/>
      <w:r>
        <w:rPr>
          <w:rFonts w:ascii="Calibri" w:hAnsi="Calibri"/>
        </w:rPr>
        <w:t xml:space="preserve"> A, </w:t>
      </w:r>
      <w:proofErr w:type="spellStart"/>
      <w:r>
        <w:rPr>
          <w:rFonts w:ascii="Calibri" w:hAnsi="Calibri"/>
        </w:rPr>
        <w:t>Tsakovska</w:t>
      </w:r>
      <w:proofErr w:type="spellEnd"/>
      <w:r>
        <w:rPr>
          <w:rFonts w:ascii="Calibri" w:hAnsi="Calibri"/>
        </w:rPr>
        <w:t xml:space="preserve"> I, </w:t>
      </w:r>
      <w:proofErr w:type="spellStart"/>
      <w:r>
        <w:rPr>
          <w:rFonts w:ascii="Calibri" w:hAnsi="Calibri"/>
        </w:rPr>
        <w:t>Pajeva</w:t>
      </w:r>
      <w:proofErr w:type="spellEnd"/>
      <w:r>
        <w:rPr>
          <w:rFonts w:ascii="Calibri" w:hAnsi="Calibri"/>
        </w:rPr>
        <w:t xml:space="preserve"> I. (2017) Molecular determinants of </w:t>
      </w:r>
      <w:proofErr w:type="spellStart"/>
      <w:r>
        <w:rPr>
          <w:rFonts w:ascii="Calibri" w:hAnsi="Calibri"/>
        </w:rPr>
        <w:t>PPARγ</w:t>
      </w:r>
      <w:proofErr w:type="spellEnd"/>
      <w:r>
        <w:rPr>
          <w:rFonts w:ascii="Calibri" w:hAnsi="Calibri"/>
        </w:rPr>
        <w:t xml:space="preserve"> partial </w:t>
      </w:r>
      <w:proofErr w:type="spellStart"/>
      <w:r>
        <w:rPr>
          <w:rFonts w:ascii="Calibri" w:hAnsi="Calibri"/>
        </w:rPr>
        <w:t>agonism</w:t>
      </w:r>
      <w:proofErr w:type="spellEnd"/>
      <w:r>
        <w:rPr>
          <w:rFonts w:ascii="Calibri" w:hAnsi="Calibri"/>
        </w:rPr>
        <w:t xml:space="preserve"> and related in silico/in vivo studies of natural </w:t>
      </w:r>
      <w:proofErr w:type="spellStart"/>
      <w:r>
        <w:rPr>
          <w:rFonts w:ascii="Calibri" w:hAnsi="Calibri"/>
        </w:rPr>
        <w:t>saponins</w:t>
      </w:r>
      <w:proofErr w:type="spellEnd"/>
      <w:r>
        <w:rPr>
          <w:rFonts w:ascii="Calibri" w:hAnsi="Calibri"/>
        </w:rPr>
        <w:t xml:space="preserve"> as potential type 2 diabetes modulators. Food </w:t>
      </w:r>
      <w:proofErr w:type="spellStart"/>
      <w:r>
        <w:rPr>
          <w:rFonts w:ascii="Calibri" w:hAnsi="Calibri"/>
        </w:rPr>
        <w:t>Chem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Toxicol</w:t>
      </w:r>
      <w:proofErr w:type="spellEnd"/>
      <w:r>
        <w:rPr>
          <w:rFonts w:ascii="Calibri" w:hAnsi="Calibri"/>
        </w:rPr>
        <w:t xml:space="preserve"> 112:47-59. </w:t>
      </w:r>
    </w:p>
    <w:p w14:paraId="1E265411" w14:textId="6BF2AB72" w:rsidR="00DF0264" w:rsidRDefault="00DF0264" w:rsidP="00DF0264">
      <w:pPr>
        <w:pStyle w:val="BodyText"/>
        <w:numPr>
          <w:ilvl w:val="0"/>
          <w:numId w:val="1"/>
        </w:numPr>
        <w:spacing w:before="85" w:line="216" w:lineRule="exact"/>
        <w:ind w:right="138"/>
        <w:jc w:val="both"/>
        <w:rPr>
          <w:rFonts w:ascii="Calibri" w:hAnsi="Calibri"/>
        </w:rPr>
      </w:pPr>
      <w:r>
        <w:rPr>
          <w:rFonts w:ascii="Calibri" w:hAnsi="Calibri"/>
        </w:rPr>
        <w:t xml:space="preserve">Al Sharif M, </w:t>
      </w:r>
      <w:proofErr w:type="spellStart"/>
      <w:r>
        <w:rPr>
          <w:rFonts w:ascii="Calibri" w:hAnsi="Calibri"/>
        </w:rPr>
        <w:t>Alov</w:t>
      </w:r>
      <w:proofErr w:type="spellEnd"/>
      <w:r>
        <w:rPr>
          <w:rFonts w:ascii="Calibri" w:hAnsi="Calibri"/>
        </w:rPr>
        <w:t xml:space="preserve"> P, </w:t>
      </w:r>
      <w:proofErr w:type="spellStart"/>
      <w:r>
        <w:rPr>
          <w:rFonts w:ascii="Calibri" w:hAnsi="Calibri"/>
        </w:rPr>
        <w:t>Vitcheva</w:t>
      </w:r>
      <w:proofErr w:type="spellEnd"/>
      <w:r>
        <w:rPr>
          <w:rFonts w:ascii="Calibri" w:hAnsi="Calibri"/>
        </w:rPr>
        <w:t xml:space="preserve"> V, </w:t>
      </w:r>
      <w:proofErr w:type="spellStart"/>
      <w:r>
        <w:rPr>
          <w:rFonts w:ascii="Calibri" w:hAnsi="Calibri"/>
        </w:rPr>
        <w:t>Diukendjieva</w:t>
      </w:r>
      <w:proofErr w:type="spellEnd"/>
      <w:r>
        <w:rPr>
          <w:rFonts w:ascii="Calibri" w:hAnsi="Calibri"/>
        </w:rPr>
        <w:t xml:space="preserve"> A, Mori M, </w:t>
      </w:r>
      <w:proofErr w:type="spellStart"/>
      <w:r>
        <w:rPr>
          <w:rFonts w:ascii="Calibri" w:hAnsi="Calibri"/>
        </w:rPr>
        <w:t>Botta</w:t>
      </w:r>
      <w:proofErr w:type="spellEnd"/>
      <w:r>
        <w:rPr>
          <w:rFonts w:ascii="Calibri" w:hAnsi="Calibri"/>
        </w:rPr>
        <w:t xml:space="preserve"> B, </w:t>
      </w:r>
      <w:proofErr w:type="spellStart"/>
      <w:r>
        <w:rPr>
          <w:rFonts w:ascii="Calibri" w:hAnsi="Calibri"/>
        </w:rPr>
        <w:t>Tsakovska</w:t>
      </w:r>
      <w:proofErr w:type="spellEnd"/>
      <w:r>
        <w:rPr>
          <w:rFonts w:ascii="Calibri" w:hAnsi="Calibri"/>
        </w:rPr>
        <w:t xml:space="preserve"> I, </w:t>
      </w:r>
      <w:proofErr w:type="spellStart"/>
      <w:r>
        <w:rPr>
          <w:rFonts w:ascii="Calibri" w:hAnsi="Calibri"/>
        </w:rPr>
        <w:t>Pajeva</w:t>
      </w:r>
      <w:proofErr w:type="spellEnd"/>
      <w:r>
        <w:rPr>
          <w:rFonts w:ascii="Calibri" w:hAnsi="Calibri"/>
        </w:rPr>
        <w:t xml:space="preserve"> I. (2017) Natural modulators of nonalcoholic fatty liver disease: Mode of action  analysis and in silico ADME-</w:t>
      </w:r>
      <w:proofErr w:type="spellStart"/>
      <w:r>
        <w:rPr>
          <w:rFonts w:ascii="Calibri" w:hAnsi="Calibri"/>
        </w:rPr>
        <w:t>Tox</w:t>
      </w:r>
      <w:proofErr w:type="spellEnd"/>
      <w:r>
        <w:rPr>
          <w:rFonts w:ascii="Calibri" w:hAnsi="Calibri"/>
        </w:rPr>
        <w:t xml:space="preserve"> prediction. </w:t>
      </w:r>
      <w:proofErr w:type="spellStart"/>
      <w:r>
        <w:rPr>
          <w:rFonts w:ascii="Calibri" w:hAnsi="Calibri"/>
        </w:rPr>
        <w:t>Toxicol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Appl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Pharmacol</w:t>
      </w:r>
      <w:proofErr w:type="spellEnd"/>
      <w:r>
        <w:rPr>
          <w:rFonts w:ascii="Calibri" w:hAnsi="Calibri"/>
        </w:rPr>
        <w:t xml:space="preserve"> 337:45-66. </w:t>
      </w:r>
    </w:p>
    <w:p w14:paraId="3F73C84C" w14:textId="6DF718A7" w:rsidR="00DF0264" w:rsidRDefault="00DF0264" w:rsidP="00DF0264">
      <w:pPr>
        <w:pStyle w:val="BodyText"/>
        <w:numPr>
          <w:ilvl w:val="0"/>
          <w:numId w:val="1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44010F">
        <w:rPr>
          <w:rFonts w:ascii="Calibri" w:hAnsi="Calibri"/>
        </w:rPr>
        <w:t xml:space="preserve">Al Sharif M, </w:t>
      </w:r>
      <w:proofErr w:type="spellStart"/>
      <w:r w:rsidRPr="0044010F">
        <w:rPr>
          <w:rFonts w:ascii="Calibri" w:hAnsi="Calibri"/>
        </w:rPr>
        <w:t>Tsakovska</w:t>
      </w:r>
      <w:proofErr w:type="spellEnd"/>
      <w:r w:rsidRPr="0044010F">
        <w:rPr>
          <w:rFonts w:ascii="Calibri" w:hAnsi="Calibri"/>
        </w:rPr>
        <w:t xml:space="preserve"> I, </w:t>
      </w:r>
      <w:proofErr w:type="spellStart"/>
      <w:r w:rsidRPr="0044010F">
        <w:rPr>
          <w:rFonts w:ascii="Calibri" w:hAnsi="Calibri"/>
        </w:rPr>
        <w:t>Pajeva</w:t>
      </w:r>
      <w:proofErr w:type="spellEnd"/>
      <w:r w:rsidRPr="0044010F">
        <w:rPr>
          <w:rFonts w:ascii="Calibri" w:hAnsi="Calibri"/>
        </w:rPr>
        <w:t xml:space="preserve"> I, </w:t>
      </w:r>
      <w:proofErr w:type="spellStart"/>
      <w:r w:rsidRPr="0044010F">
        <w:rPr>
          <w:rFonts w:ascii="Calibri" w:hAnsi="Calibri"/>
        </w:rPr>
        <w:t>Alov</w:t>
      </w:r>
      <w:proofErr w:type="spellEnd"/>
      <w:r w:rsidRPr="0044010F">
        <w:rPr>
          <w:rFonts w:ascii="Calibri" w:hAnsi="Calibri"/>
        </w:rPr>
        <w:t xml:space="preserve"> P, </w:t>
      </w:r>
      <w:proofErr w:type="spellStart"/>
      <w:r w:rsidRPr="0044010F">
        <w:rPr>
          <w:rFonts w:ascii="Calibri" w:hAnsi="Calibri"/>
        </w:rPr>
        <w:t>Fioravanzo</w:t>
      </w:r>
      <w:proofErr w:type="spellEnd"/>
      <w:r w:rsidRPr="0044010F">
        <w:rPr>
          <w:rFonts w:ascii="Calibri" w:hAnsi="Calibri"/>
        </w:rPr>
        <w:t xml:space="preserve"> E, </w:t>
      </w:r>
      <w:proofErr w:type="spellStart"/>
      <w:r w:rsidRPr="0044010F">
        <w:rPr>
          <w:rFonts w:ascii="Calibri" w:hAnsi="Calibri"/>
        </w:rPr>
        <w:t>Bassan</w:t>
      </w:r>
      <w:proofErr w:type="spellEnd"/>
      <w:r w:rsidRPr="0044010F">
        <w:rPr>
          <w:rFonts w:ascii="Calibri" w:hAnsi="Calibri"/>
        </w:rPr>
        <w:t xml:space="preserve"> A, </w:t>
      </w:r>
      <w:proofErr w:type="spellStart"/>
      <w:r w:rsidRPr="0044010F">
        <w:rPr>
          <w:rFonts w:ascii="Calibri" w:hAnsi="Calibri"/>
        </w:rPr>
        <w:t>Kovarich</w:t>
      </w:r>
      <w:proofErr w:type="spellEnd"/>
      <w:r w:rsidRPr="0044010F">
        <w:rPr>
          <w:rFonts w:ascii="Calibri" w:hAnsi="Calibri"/>
        </w:rPr>
        <w:t xml:space="preserve"> S, Yang C, </w:t>
      </w:r>
      <w:proofErr w:type="spellStart"/>
      <w:r w:rsidRPr="0044010F">
        <w:rPr>
          <w:rFonts w:ascii="Calibri" w:hAnsi="Calibri"/>
        </w:rPr>
        <w:t>Mostrag-Szlichtyng</w:t>
      </w:r>
      <w:proofErr w:type="spellEnd"/>
      <w:r w:rsidRPr="0044010F">
        <w:rPr>
          <w:rFonts w:ascii="Calibri" w:hAnsi="Calibri"/>
        </w:rPr>
        <w:t xml:space="preserve"> A, </w:t>
      </w:r>
      <w:proofErr w:type="spellStart"/>
      <w:r w:rsidRPr="0044010F">
        <w:rPr>
          <w:rFonts w:ascii="Calibri" w:hAnsi="Calibri"/>
        </w:rPr>
        <w:t>Vitcheva</w:t>
      </w:r>
      <w:proofErr w:type="spellEnd"/>
      <w:r w:rsidRPr="0044010F">
        <w:rPr>
          <w:rFonts w:ascii="Calibri" w:hAnsi="Calibri"/>
        </w:rPr>
        <w:t xml:space="preserve"> V, Worth AP, </w:t>
      </w:r>
      <w:proofErr w:type="spellStart"/>
      <w:r w:rsidRPr="0044010F">
        <w:rPr>
          <w:rFonts w:ascii="Calibri" w:hAnsi="Calibri"/>
        </w:rPr>
        <w:t>Richarz</w:t>
      </w:r>
      <w:proofErr w:type="spellEnd"/>
      <w:r w:rsidRPr="0044010F">
        <w:rPr>
          <w:rFonts w:ascii="Calibri" w:hAnsi="Calibri"/>
        </w:rPr>
        <w:t xml:space="preserve"> AN, Cronin MTD. </w:t>
      </w:r>
      <w:r>
        <w:rPr>
          <w:rFonts w:ascii="Calibri" w:hAnsi="Calibri"/>
        </w:rPr>
        <w:t xml:space="preserve">(2017) </w:t>
      </w:r>
      <w:proofErr w:type="gramStart"/>
      <w:r w:rsidRPr="0044010F">
        <w:rPr>
          <w:rFonts w:ascii="Calibri" w:hAnsi="Calibri"/>
        </w:rPr>
        <w:t>The</w:t>
      </w:r>
      <w:proofErr w:type="gramEnd"/>
      <w:r w:rsidRPr="0044010F">
        <w:rPr>
          <w:rFonts w:ascii="Calibri" w:hAnsi="Calibri"/>
        </w:rPr>
        <w:t xml:space="preserve"> application of molecular modelling in the safety assessment of chemicals: A case study on ligand-dependent </w:t>
      </w:r>
      <w:proofErr w:type="spellStart"/>
      <w:r w:rsidRPr="0044010F">
        <w:rPr>
          <w:rFonts w:ascii="Calibri" w:hAnsi="Calibri"/>
        </w:rPr>
        <w:t>P</w:t>
      </w:r>
      <w:r>
        <w:rPr>
          <w:rFonts w:ascii="Calibri" w:hAnsi="Calibri"/>
        </w:rPr>
        <w:t>PARγ</w:t>
      </w:r>
      <w:proofErr w:type="spellEnd"/>
      <w:r>
        <w:rPr>
          <w:rFonts w:ascii="Calibri" w:hAnsi="Calibri"/>
        </w:rPr>
        <w:t xml:space="preserve"> dysregulation. Toxicology </w:t>
      </w:r>
      <w:r w:rsidRPr="0044010F">
        <w:rPr>
          <w:rFonts w:ascii="Calibri" w:hAnsi="Calibri"/>
        </w:rPr>
        <w:t>392:140-154.</w:t>
      </w:r>
    </w:p>
    <w:p w14:paraId="57D7E752" w14:textId="77777777" w:rsidR="00DF0264" w:rsidRDefault="00DF0264" w:rsidP="00DF0264">
      <w:pPr>
        <w:pStyle w:val="BodyText"/>
        <w:numPr>
          <w:ilvl w:val="0"/>
          <w:numId w:val="1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 w:rsidRPr="0044010F">
        <w:rPr>
          <w:rFonts w:ascii="Calibri" w:hAnsi="Calibri"/>
        </w:rPr>
        <w:t>Tsakovska</w:t>
      </w:r>
      <w:proofErr w:type="spellEnd"/>
      <w:r w:rsidRPr="0044010F">
        <w:rPr>
          <w:rFonts w:ascii="Calibri" w:hAnsi="Calibri"/>
        </w:rPr>
        <w:t xml:space="preserve"> I, Al Sharif M, </w:t>
      </w:r>
      <w:proofErr w:type="spellStart"/>
      <w:r w:rsidRPr="0044010F">
        <w:rPr>
          <w:rFonts w:ascii="Calibri" w:hAnsi="Calibri"/>
        </w:rPr>
        <w:t>Alov</w:t>
      </w:r>
      <w:proofErr w:type="spellEnd"/>
      <w:r w:rsidRPr="0044010F">
        <w:rPr>
          <w:rFonts w:ascii="Calibri" w:hAnsi="Calibri"/>
        </w:rPr>
        <w:t xml:space="preserve"> P, </w:t>
      </w:r>
      <w:proofErr w:type="spellStart"/>
      <w:r w:rsidRPr="0044010F">
        <w:rPr>
          <w:rFonts w:ascii="Calibri" w:hAnsi="Calibri"/>
        </w:rPr>
        <w:t>Diukendjieva</w:t>
      </w:r>
      <w:proofErr w:type="spellEnd"/>
      <w:r w:rsidRPr="0044010F">
        <w:rPr>
          <w:rFonts w:ascii="Calibri" w:hAnsi="Calibri"/>
        </w:rPr>
        <w:t xml:space="preserve"> A, </w:t>
      </w:r>
      <w:proofErr w:type="spellStart"/>
      <w:r w:rsidRPr="0044010F">
        <w:rPr>
          <w:rFonts w:ascii="Calibri" w:hAnsi="Calibri"/>
        </w:rPr>
        <w:t>Fioravanzo</w:t>
      </w:r>
      <w:proofErr w:type="spellEnd"/>
      <w:r w:rsidRPr="0044010F">
        <w:rPr>
          <w:rFonts w:ascii="Calibri" w:hAnsi="Calibri"/>
        </w:rPr>
        <w:t xml:space="preserve"> E, Cronin MT, </w:t>
      </w:r>
      <w:proofErr w:type="spellStart"/>
      <w:r w:rsidRPr="0044010F">
        <w:rPr>
          <w:rFonts w:ascii="Calibri" w:hAnsi="Calibri"/>
        </w:rPr>
        <w:t>Pajeva</w:t>
      </w:r>
      <w:proofErr w:type="spellEnd"/>
      <w:r w:rsidRPr="0044010F">
        <w:rPr>
          <w:rFonts w:ascii="Calibri" w:hAnsi="Calibri"/>
        </w:rPr>
        <w:t xml:space="preserve"> I. (2014) Molecular modelling study of the </w:t>
      </w:r>
      <w:proofErr w:type="spellStart"/>
      <w:r w:rsidRPr="0044010F">
        <w:rPr>
          <w:rFonts w:ascii="Calibri" w:hAnsi="Calibri"/>
        </w:rPr>
        <w:t>PPARγ</w:t>
      </w:r>
      <w:proofErr w:type="spellEnd"/>
      <w:r w:rsidRPr="0044010F">
        <w:rPr>
          <w:rFonts w:ascii="Calibri" w:hAnsi="Calibri"/>
        </w:rPr>
        <w:t xml:space="preserve"> receptor in relation to the mode of action/adverse outcome pathway framework for liver steatosis. </w:t>
      </w:r>
      <w:proofErr w:type="spellStart"/>
      <w:r w:rsidRPr="0044010F">
        <w:rPr>
          <w:rFonts w:ascii="Calibri" w:hAnsi="Calibri"/>
        </w:rPr>
        <w:t>Int</w:t>
      </w:r>
      <w:proofErr w:type="spellEnd"/>
      <w:r w:rsidRPr="0044010F">
        <w:rPr>
          <w:rFonts w:ascii="Calibri" w:hAnsi="Calibri"/>
        </w:rPr>
        <w:t xml:space="preserve"> J </w:t>
      </w:r>
      <w:proofErr w:type="spellStart"/>
      <w:r w:rsidRPr="0044010F">
        <w:rPr>
          <w:rFonts w:ascii="Calibri" w:hAnsi="Calibri"/>
        </w:rPr>
        <w:t>Mol</w:t>
      </w:r>
      <w:proofErr w:type="spellEnd"/>
      <w:r w:rsidRPr="0044010F"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Sci</w:t>
      </w:r>
      <w:proofErr w:type="spellEnd"/>
      <w:r>
        <w:rPr>
          <w:rFonts w:ascii="Calibri" w:hAnsi="Calibri"/>
        </w:rPr>
        <w:t xml:space="preserve"> </w:t>
      </w:r>
      <w:r w:rsidRPr="0044010F">
        <w:rPr>
          <w:rFonts w:ascii="Calibri" w:hAnsi="Calibri"/>
        </w:rPr>
        <w:t>15:7651-66.</w:t>
      </w:r>
    </w:p>
    <w:p w14:paraId="10D21B38" w14:textId="77777777" w:rsidR="00DF0264" w:rsidRDefault="00DF0264" w:rsidP="00DF0264">
      <w:pPr>
        <w:pStyle w:val="BodyText"/>
        <w:numPr>
          <w:ilvl w:val="0"/>
          <w:numId w:val="1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44010F">
        <w:rPr>
          <w:rFonts w:ascii="Calibri" w:hAnsi="Calibri"/>
        </w:rPr>
        <w:t xml:space="preserve">Al Sharif M, </w:t>
      </w:r>
      <w:proofErr w:type="spellStart"/>
      <w:r w:rsidRPr="0044010F">
        <w:rPr>
          <w:rFonts w:ascii="Calibri" w:hAnsi="Calibri"/>
        </w:rPr>
        <w:t>Alov</w:t>
      </w:r>
      <w:proofErr w:type="spellEnd"/>
      <w:r w:rsidRPr="0044010F">
        <w:rPr>
          <w:rFonts w:ascii="Calibri" w:hAnsi="Calibri"/>
        </w:rPr>
        <w:t xml:space="preserve"> P, </w:t>
      </w:r>
      <w:proofErr w:type="spellStart"/>
      <w:r w:rsidRPr="0044010F">
        <w:rPr>
          <w:rFonts w:ascii="Calibri" w:hAnsi="Calibri"/>
        </w:rPr>
        <w:t>Vitcheva</w:t>
      </w:r>
      <w:proofErr w:type="spellEnd"/>
      <w:r w:rsidRPr="0044010F">
        <w:rPr>
          <w:rFonts w:ascii="Calibri" w:hAnsi="Calibri"/>
        </w:rPr>
        <w:t xml:space="preserve"> V, </w:t>
      </w:r>
      <w:proofErr w:type="spellStart"/>
      <w:r w:rsidRPr="0044010F">
        <w:rPr>
          <w:rFonts w:ascii="Calibri" w:hAnsi="Calibri"/>
        </w:rPr>
        <w:t>Pajeva</w:t>
      </w:r>
      <w:proofErr w:type="spellEnd"/>
      <w:r w:rsidRPr="0044010F">
        <w:rPr>
          <w:rFonts w:ascii="Calibri" w:hAnsi="Calibri"/>
        </w:rPr>
        <w:t xml:space="preserve"> I, </w:t>
      </w:r>
      <w:proofErr w:type="spellStart"/>
      <w:r w:rsidRPr="0044010F">
        <w:rPr>
          <w:rFonts w:ascii="Calibri" w:hAnsi="Calibri"/>
        </w:rPr>
        <w:t>Tsakovska</w:t>
      </w:r>
      <w:proofErr w:type="spellEnd"/>
      <w:r w:rsidRPr="0044010F">
        <w:rPr>
          <w:rFonts w:ascii="Calibri" w:hAnsi="Calibri"/>
        </w:rPr>
        <w:t xml:space="preserve"> I. </w:t>
      </w:r>
      <w:r>
        <w:rPr>
          <w:rFonts w:ascii="Calibri" w:hAnsi="Calibri"/>
        </w:rPr>
        <w:t xml:space="preserve">(2014) </w:t>
      </w:r>
      <w:r w:rsidRPr="0044010F">
        <w:rPr>
          <w:rFonts w:ascii="Calibri" w:hAnsi="Calibri"/>
        </w:rPr>
        <w:t>Modes-of-Action Related to Repeated Dose Toxicity: Tissue-Specific Biological Roles of PPAR γ Ligand-Dependent Dysregulation in Nonalcoholic Fatty Liver Disease. PPAR Res.</w:t>
      </w:r>
      <w:r>
        <w:rPr>
          <w:rFonts w:ascii="Calibri" w:hAnsi="Calibri"/>
        </w:rPr>
        <w:t xml:space="preserve"> </w:t>
      </w:r>
      <w:r w:rsidRPr="0044010F">
        <w:rPr>
          <w:rFonts w:ascii="Calibri" w:hAnsi="Calibri"/>
        </w:rPr>
        <w:t>2014:432647.</w:t>
      </w:r>
      <w:r>
        <w:rPr>
          <w:rFonts w:ascii="Calibri" w:hAnsi="Calibri"/>
        </w:rPr>
        <w:t xml:space="preserve"> </w:t>
      </w:r>
    </w:p>
    <w:p w14:paraId="7715B1D8" w14:textId="77777777" w:rsidR="00215F5A" w:rsidRDefault="00215F5A">
      <w:pPr>
        <w:sectPr w:rsidR="00215F5A">
          <w:type w:val="continuous"/>
          <w:pgSz w:w="11906" w:h="16838"/>
          <w:pgMar w:top="1740" w:right="600" w:bottom="840" w:left="620" w:header="541" w:footer="642" w:gutter="0"/>
          <w:cols w:num="2" w:space="720" w:equalWidth="0">
            <w:col w:w="5211" w:space="138"/>
            <w:col w:w="5336"/>
          </w:cols>
          <w:formProt w:val="0"/>
          <w:docGrid w:linePitch="312" w:charSpace="-2049"/>
        </w:sectPr>
      </w:pPr>
    </w:p>
    <w:p w14:paraId="165492DF" w14:textId="77777777" w:rsidR="00215F5A" w:rsidRDefault="00215F5A">
      <w:pPr>
        <w:pStyle w:val="BodyText"/>
        <w:rPr>
          <w:rFonts w:ascii="Calibri" w:hAnsi="Calibri"/>
          <w:sz w:val="20"/>
        </w:rPr>
      </w:pPr>
    </w:p>
    <w:p w14:paraId="459341F7" w14:textId="77777777" w:rsidR="00215F5A" w:rsidRDefault="00AF1E52">
      <w:pPr>
        <w:pStyle w:val="BodyText"/>
        <w:spacing w:line="40" w:lineRule="exact"/>
        <w:ind w:left="2202"/>
        <w:rPr>
          <w:rFonts w:ascii="Calibri" w:hAns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 wp14:anchorId="4E7F3C82" wp14:editId="02413021">
                <wp:extent cx="3976370" cy="635"/>
                <wp:effectExtent l="0" t="0" r="0" b="0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840" cy="0"/>
                          <a:chOff x="0" y="0"/>
                          <a:chExt cx="0" cy="0"/>
                        </a:xfrm>
                      </wpg:grpSpPr>
                      <wps:wsp>
                        <wps:cNvPr id="2" name="Straight Connector 2"/>
                        <wps:cNvCnPr/>
                        <wps:spPr>
                          <a:xfrm>
                            <a:off x="0" y="0"/>
                            <a:ext cx="3975840" cy="0"/>
                          </a:xfrm>
                          <a:prstGeom prst="line">
                            <a:avLst/>
                          </a:prstGeom>
                          <a:ln w="2556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F6043A" id="Group 10" o:spid="_x0000_s1026" style="width:313.1pt;height:.05pt;mso-position-horizontal-relative:char;mso-position-vertical-relative:lin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">
                <v:line id="Straight Connector 2" o:spid="_x0000_s1027" style="position:absolute;visibility:visible;mso-wrap-style:square" from="0,0" to="397584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ssGr0AAADaAAAADwAAAGRycy9kb3ducmV2LnhtbESPzQrCMBCE74LvEFbwIpoqKFKNIqLg&#10;1Z+Lt6VZm2KzKU201ac3guBxmJlvmOW6taV4Uu0LxwrGowQEceZ0wbmCy3k/nIPwAVlj6ZgUvMjD&#10;etXtLDHVruEjPU8hFxHCPkUFJoQqldJnhiz6kauIo3dztcUQZZ1LXWMT4baUkySZSYsFxwWDFW0N&#10;ZffTwyqQG9oNdDMv39nNJPtpNWV6XJXq99rNAkSgNvzDv/ZBK5jA90q8AXL1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JLLBq9AAAA2gAAAA8AAAAAAAAAAAAAAAAAoQIA&#10;AGRycy9kb3ducmV2LnhtbFBLBQYAAAAABAAEAPkAAACLAwAAAAA=&#10;" strokecolor="#004080" strokeweight=".71mm"/>
                <w10:anchorlock/>
              </v:group>
            </w:pict>
          </mc:Fallback>
        </mc:AlternateContent>
      </w:r>
    </w:p>
    <w:p w14:paraId="3D56691D" w14:textId="478C7E85" w:rsidR="00215F5A" w:rsidRDefault="00AF1E52">
      <w:pPr>
        <w:spacing w:before="92"/>
        <w:ind w:right="4234"/>
        <w:rPr>
          <w:rFonts w:ascii="Arial" w:hAnsi="Arial"/>
        </w:rPr>
      </w:pPr>
      <w:r>
        <w:lastRenderedPageBreak/>
        <w:t xml:space="preserve">              </w:t>
      </w:r>
      <w:r w:rsidR="008B77DD" w:rsidRPr="009A14EE">
        <w:rPr>
          <w:noProof/>
        </w:rPr>
        <w:drawing>
          <wp:inline distT="0" distB="0" distL="0" distR="0" wp14:anchorId="27AFCA93" wp14:editId="1DFB2A25">
            <wp:extent cx="629285" cy="621665"/>
            <wp:effectExtent l="0" t="0" r="0" b="6985"/>
            <wp:docPr id="3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  <w:r>
        <w:rPr>
          <w:rFonts w:ascii="Arial" w:hAnsi="Arial"/>
          <w:color w:val="BF5A14"/>
        </w:rPr>
        <w:t>Biography (150 word limit)</w:t>
      </w:r>
    </w:p>
    <w:p w14:paraId="370B42D8" w14:textId="4B021BE8" w:rsidR="00215F5A" w:rsidRDefault="00AF1E52">
      <w:pPr>
        <w:spacing w:before="41" w:line="154" w:lineRule="exact"/>
        <w:ind w:left="213" w:right="231"/>
        <w:jc w:val="both"/>
        <w:rPr>
          <w:rFonts w:ascii="Arial" w:hAnsi="Arial"/>
          <w:sz w:val="14"/>
        </w:rPr>
      </w:pPr>
      <w:proofErr w:type="spellStart"/>
      <w:r>
        <w:rPr>
          <w:rFonts w:ascii="Arial" w:hAnsi="Arial"/>
          <w:sz w:val="14"/>
        </w:rPr>
        <w:t>Merilin</w:t>
      </w:r>
      <w:proofErr w:type="spellEnd"/>
      <w:r>
        <w:rPr>
          <w:rFonts w:ascii="Arial" w:hAnsi="Arial"/>
          <w:sz w:val="14"/>
        </w:rPr>
        <w:t xml:space="preserve"> Al Sharif got her BS degree in Biotechnology and MS degree in Biochemistry from Sofia University “St. </w:t>
      </w:r>
      <w:proofErr w:type="spellStart"/>
      <w:r>
        <w:rPr>
          <w:rFonts w:ascii="Arial" w:hAnsi="Arial"/>
          <w:sz w:val="14"/>
        </w:rPr>
        <w:t>Kliment</w:t>
      </w:r>
      <w:proofErr w:type="spellEnd"/>
      <w:r>
        <w:rPr>
          <w:rFonts w:ascii="Arial" w:hAnsi="Arial"/>
          <w:sz w:val="14"/>
        </w:rPr>
        <w:t xml:space="preserve"> </w:t>
      </w:r>
      <w:proofErr w:type="spellStart"/>
      <w:r>
        <w:rPr>
          <w:rFonts w:ascii="Arial" w:hAnsi="Arial"/>
          <w:sz w:val="14"/>
        </w:rPr>
        <w:t>Ohridski</w:t>
      </w:r>
      <w:proofErr w:type="spellEnd"/>
      <w:r>
        <w:rPr>
          <w:rFonts w:ascii="Arial" w:hAnsi="Arial"/>
          <w:sz w:val="14"/>
        </w:rPr>
        <w:t xml:space="preserve">”, Faculty of Biology, and PhD in Biological sciences from the Bulgarian Academy of Sciences (BAS). Currently she holds a position of a Senior Assist. Prof. at the Institute of Biophysics and Biomedical Engineering, </w:t>
      </w:r>
      <w:r w:rsidR="00D866A5">
        <w:rPr>
          <w:rFonts w:ascii="Arial" w:hAnsi="Arial"/>
          <w:sz w:val="14"/>
        </w:rPr>
        <w:t>Bulgarian Academy of Sciences</w:t>
      </w:r>
      <w:r>
        <w:rPr>
          <w:rFonts w:ascii="Arial" w:hAnsi="Arial"/>
          <w:sz w:val="14"/>
        </w:rPr>
        <w:t xml:space="preserve">. Her main scientific interests relate to predictive toxicology and </w:t>
      </w:r>
      <w:r w:rsidRPr="00CA3E8D">
        <w:rPr>
          <w:rFonts w:ascii="Arial" w:hAnsi="Arial"/>
          <w:i/>
          <w:sz w:val="14"/>
        </w:rPr>
        <w:t>in silico</w:t>
      </w:r>
      <w:r>
        <w:rPr>
          <w:rFonts w:ascii="Arial" w:hAnsi="Arial"/>
          <w:sz w:val="14"/>
        </w:rPr>
        <w:t xml:space="preserve"> drug design. Her most recent investigations in the field of naturally-derived triterpenoids could aid in the discovery of promising leads for design of </w:t>
      </w:r>
      <w:proofErr w:type="spellStart"/>
      <w:r>
        <w:rPr>
          <w:rFonts w:ascii="Arial" w:hAnsi="Arial"/>
          <w:sz w:val="14"/>
        </w:rPr>
        <w:t>PPARγ</w:t>
      </w:r>
      <w:proofErr w:type="spellEnd"/>
      <w:r>
        <w:rPr>
          <w:rFonts w:ascii="Arial" w:hAnsi="Arial"/>
          <w:sz w:val="14"/>
        </w:rPr>
        <w:t>-targeting modulators of the metabolic syndrome.</w:t>
      </w:r>
    </w:p>
    <w:p w14:paraId="461032FB" w14:textId="2AF570A5" w:rsidR="00215F5A" w:rsidRDefault="00AF1E52">
      <w:pPr>
        <w:spacing w:before="62"/>
        <w:ind w:left="4217" w:right="4235"/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/>
          <w:sz w:val="14"/>
        </w:rPr>
        <w:t xml:space="preserve">Email: </w:t>
      </w:r>
      <w:r>
        <w:rPr>
          <w:rFonts w:ascii="Arial" w:hAnsi="Arial" w:cs="Arial"/>
          <w:sz w:val="14"/>
          <w:szCs w:val="14"/>
        </w:rPr>
        <w:t>merilin</w:t>
      </w:r>
      <w:r w:rsidR="00E64395">
        <w:rPr>
          <w:rFonts w:ascii="Arial" w:hAnsi="Arial" w:cs="Arial"/>
          <w:sz w:val="14"/>
          <w:szCs w:val="14"/>
        </w:rPr>
        <w:t>.al</w:t>
      </w:r>
      <w:r>
        <w:rPr>
          <w:rFonts w:ascii="Arial" w:hAnsi="Arial" w:cs="Arial"/>
          <w:sz w:val="14"/>
          <w:szCs w:val="14"/>
        </w:rPr>
        <w:t>@biomed.bas.bg</w:t>
      </w:r>
    </w:p>
    <w:p w14:paraId="7680B134" w14:textId="77777777" w:rsidR="00215F5A" w:rsidRDefault="00AF1E52">
      <w:pPr>
        <w:pStyle w:val="BodyText"/>
        <w:spacing w:before="2"/>
        <w:rPr>
          <w:rFonts w:ascii="Arial" w:hAnsi="Arial"/>
          <w:sz w:val="19"/>
        </w:rPr>
      </w:pPr>
      <w:r>
        <w:rPr>
          <w:rFonts w:ascii="Arial" w:hAnsi="Arial"/>
          <w:noProof/>
          <w:sz w:val="19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673638B0" wp14:editId="2629B60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970" cy="1270"/>
                <wp:effectExtent l="10795" t="6985" r="13970" b="12065"/>
                <wp:wrapTopAndBottom/>
                <wp:docPr id="1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2320" cy="72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408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DB6212" id="Line 3" o:spid="_x0000_s1026" style="position:absolute;z-index: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162.1pt,13.25pt" to="433.2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" strokecolor="#004080" strokeweight=".18mm">
                <w10:wrap type="topAndBottom" anchorx="page"/>
              </v:line>
            </w:pict>
          </mc:Fallback>
        </mc:AlternateContent>
      </w:r>
    </w:p>
    <w:p w14:paraId="421B18EB" w14:textId="77777777" w:rsidR="00215F5A" w:rsidRDefault="00215F5A">
      <w:pPr>
        <w:pStyle w:val="BodyText"/>
        <w:rPr>
          <w:rFonts w:ascii="Arial" w:hAnsi="Arial"/>
          <w:sz w:val="20"/>
        </w:rPr>
      </w:pPr>
    </w:p>
    <w:p w14:paraId="2497C11F" w14:textId="77777777" w:rsidR="00215F5A" w:rsidRDefault="00215F5A">
      <w:pPr>
        <w:pStyle w:val="BodyText"/>
        <w:rPr>
          <w:rFonts w:ascii="Arial" w:hAnsi="Arial"/>
          <w:sz w:val="20"/>
        </w:rPr>
      </w:pPr>
    </w:p>
    <w:p w14:paraId="6CD87C41" w14:textId="77777777" w:rsidR="00215F5A" w:rsidRDefault="00215F5A">
      <w:pPr>
        <w:pStyle w:val="BodyText"/>
        <w:spacing w:before="7"/>
        <w:rPr>
          <w:rFonts w:ascii="Arial" w:hAnsi="Arial"/>
          <w:sz w:val="29"/>
        </w:rPr>
      </w:pPr>
    </w:p>
    <w:p w14:paraId="4823BA15" w14:textId="77777777" w:rsidR="00215F5A" w:rsidRDefault="00AF1E52">
      <w:pPr>
        <w:spacing w:before="39"/>
        <w:ind w:left="100"/>
        <w:rPr>
          <w:rFonts w:ascii="Minion Pro" w:hAnsi="Minion Pro"/>
          <w:b/>
          <w:sz w:val="20"/>
        </w:rPr>
      </w:pPr>
      <w:r>
        <w:rPr>
          <w:rFonts w:ascii="Minion Pro" w:hAnsi="Minion Pro"/>
          <w:b/>
          <w:sz w:val="20"/>
        </w:rPr>
        <w:t>Notes/Comments:</w:t>
      </w:r>
    </w:p>
    <w:p w14:paraId="1DA683D5" w14:textId="77777777" w:rsidR="00215F5A" w:rsidRDefault="00215F5A">
      <w:pPr>
        <w:sectPr w:rsidR="00215F5A">
          <w:type w:val="continuous"/>
          <w:pgSz w:w="11906" w:h="16838"/>
          <w:pgMar w:top="1740" w:right="600" w:bottom="840" w:left="620" w:header="541" w:footer="642" w:gutter="0"/>
          <w:cols w:space="720"/>
          <w:formProt w:val="0"/>
          <w:docGrid w:linePitch="312" w:charSpace="-2049"/>
        </w:sectPr>
      </w:pPr>
    </w:p>
    <w:p w14:paraId="181C51CE" w14:textId="77777777" w:rsidR="00215F5A" w:rsidRDefault="00215F5A">
      <w:pPr>
        <w:pStyle w:val="BodyText"/>
        <w:spacing w:before="3"/>
      </w:pPr>
    </w:p>
    <w:sectPr w:rsidR="00215F5A">
      <w:type w:val="continuous"/>
      <w:pgSz w:w="11906" w:h="16838"/>
      <w:pgMar w:top="1740" w:right="600" w:bottom="840" w:left="620" w:header="541" w:footer="642" w:gutter="0"/>
      <w:cols w:num="2" w:space="720" w:equalWidth="0">
        <w:col w:w="5202" w:space="138"/>
        <w:col w:w="5345"/>
      </w:cols>
      <w:formProt w:val="0"/>
      <w:docGrid w:linePitch="312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D64B44" w14:textId="77777777" w:rsidR="00F72E57" w:rsidRDefault="00F72E57">
      <w:r>
        <w:separator/>
      </w:r>
    </w:p>
  </w:endnote>
  <w:endnote w:type="continuationSeparator" w:id="0">
    <w:p w14:paraId="3BB8F7A9" w14:textId="77777777" w:rsidR="00F72E57" w:rsidRDefault="00F7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Times New Roman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yriad Pro">
    <w:altName w:val="Times New Roman"/>
    <w:charset w:val="01"/>
    <w:family w:val="roman"/>
    <w:pitch w:val="variable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60FC2E" w14:textId="77777777" w:rsidR="00F72E57" w:rsidRDefault="00F72E57">
      <w:r>
        <w:separator/>
      </w:r>
    </w:p>
  </w:footnote>
  <w:footnote w:type="continuationSeparator" w:id="0">
    <w:p w14:paraId="54A95A79" w14:textId="77777777" w:rsidR="00F72E57" w:rsidRDefault="00F72E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BCF930" w14:textId="77777777" w:rsidR="00215F5A" w:rsidRDefault="00AF1E52">
    <w:pPr>
      <w:pStyle w:val="BodyText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5" behindDoc="1" locked="0" layoutInCell="1" allowOverlap="1" wp14:anchorId="03E3AE1B" wp14:editId="509AF4D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3200" cy="509905"/>
              <wp:effectExtent l="0" t="3810" r="3810" b="1270"/>
              <wp:wrapNone/>
              <wp:docPr id="1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2720" cy="50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9C02FBF" w14:textId="77777777" w:rsidR="00215F5A" w:rsidRDefault="00AF1E52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 w:hAnsi="Myriad Pro"/>
                              <w:color w:val="FFFFFF" w:themeColor="background1"/>
                            </w:rPr>
                          </w:pPr>
                          <w:r>
                            <w:rPr>
                              <w:rFonts w:ascii="Myriad Pro" w:hAns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CF48CBF" w14:textId="77777777" w:rsidR="00215F5A" w:rsidRDefault="00AF1E52">
                          <w:pPr>
                            <w:pStyle w:val="FrameContents"/>
                            <w:spacing w:line="614" w:lineRule="exact"/>
                            <w:ind w:left="20" w:right="-10"/>
                            <w:rPr>
                              <w:rFonts w:ascii="Minion Pro" w:hAnsi="Minion Pro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 w:hAns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 w:hAns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3E3AE1B" id="Text Box 4" o:spid="_x0000_s1026" style="position:absolute;margin-left:35pt;margin-top:48.3pt;width:516pt;height:40.15pt;z-index:-50331647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" filled="f" stroked="f">
              <v:textbox inset="0,0,0,0">
                <w:txbxContent>
                  <w:p w14:paraId="49C02FBF" w14:textId="77777777" w:rsidR="00215F5A" w:rsidRDefault="00AF1E52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 w:hAnsi="Myriad Pro"/>
                        <w:color w:val="FFFFFF" w:themeColor="background1"/>
                      </w:rPr>
                    </w:pPr>
                    <w:r>
                      <w:rPr>
                        <w:rFonts w:ascii="Myriad Pro" w:hAnsi="Myriad Pro"/>
                        <w:color w:val="FFFFFF" w:themeColor="background1"/>
                      </w:rPr>
                      <w:t>International Conference on</w:t>
                    </w:r>
                  </w:p>
                  <w:p w14:paraId="6CF48CBF" w14:textId="77777777" w:rsidR="00215F5A" w:rsidRDefault="00AF1E52">
                    <w:pPr>
                      <w:pStyle w:val="FrameContents"/>
                      <w:spacing w:line="614" w:lineRule="exact"/>
                      <w:ind w:left="20" w:right="-10"/>
                      <w:rPr>
                        <w:rFonts w:ascii="Minion Pro" w:hAnsi="Minion Pro"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="Impact" w:hAns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>
                      <w:rPr>
                        <w:rFonts w:ascii="Minion Pro" w:hAns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01829"/>
    <w:multiLevelType w:val="multilevel"/>
    <w:tmpl w:val="38125DE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1555750"/>
    <w:multiLevelType w:val="multilevel"/>
    <w:tmpl w:val="A80C65F6"/>
    <w:lvl w:ilvl="0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/>
        <w:spacing w:val="-16"/>
        <w:w w:val="100"/>
        <w:sz w:val="18"/>
        <w:szCs w:val="18"/>
      </w:rPr>
    </w:lvl>
    <w:lvl w:ilvl="1">
      <w:start w:val="1"/>
      <w:numFmt w:val="bullet"/>
      <w:lvlText w:val=""/>
      <w:lvlJc w:val="left"/>
      <w:pPr>
        <w:ind w:left="877" w:hanging="28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374" w:hanging="28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71" w:hanging="28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369" w:hanging="28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866" w:hanging="28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3363" w:hanging="28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860" w:hanging="28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4358" w:hanging="284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F5A"/>
    <w:rsid w:val="00175ED1"/>
    <w:rsid w:val="00215F5A"/>
    <w:rsid w:val="002B0831"/>
    <w:rsid w:val="003B4C16"/>
    <w:rsid w:val="003E76B0"/>
    <w:rsid w:val="003F0CA8"/>
    <w:rsid w:val="003F693F"/>
    <w:rsid w:val="0043767C"/>
    <w:rsid w:val="00441E2A"/>
    <w:rsid w:val="004517B7"/>
    <w:rsid w:val="004B2AAC"/>
    <w:rsid w:val="00522B6C"/>
    <w:rsid w:val="005B1E84"/>
    <w:rsid w:val="00606814"/>
    <w:rsid w:val="0063723C"/>
    <w:rsid w:val="006F6FED"/>
    <w:rsid w:val="007675C9"/>
    <w:rsid w:val="008B77DD"/>
    <w:rsid w:val="00964194"/>
    <w:rsid w:val="00A53266"/>
    <w:rsid w:val="00AF1E52"/>
    <w:rsid w:val="00B12BCB"/>
    <w:rsid w:val="00C65A63"/>
    <w:rsid w:val="00CA3E8D"/>
    <w:rsid w:val="00D27008"/>
    <w:rsid w:val="00D479A4"/>
    <w:rsid w:val="00D866A5"/>
    <w:rsid w:val="00DB6CF0"/>
    <w:rsid w:val="00DF0264"/>
    <w:rsid w:val="00E64395"/>
    <w:rsid w:val="00F20675"/>
    <w:rsid w:val="00F628F2"/>
    <w:rsid w:val="00F72E57"/>
    <w:rsid w:val="00FE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C661266"/>
  <w15:docId w15:val="{1F61B7F5-40FA-47F1-80B5-20BFC515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5B3A56"/>
    <w:rPr>
      <w:rFonts w:ascii="Tw Cen MT" w:eastAsia="Tw Cen MT" w:hAnsi="Tw Cen MT" w:cs="Tw Cen MT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5B3A56"/>
    <w:rPr>
      <w:rFonts w:ascii="Tw Cen MT" w:eastAsia="Tw Cen MT" w:hAnsi="Tw Cen MT" w:cs="Tw Cen M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4F3523"/>
    <w:rPr>
      <w:rFonts w:ascii="Tahoma" w:eastAsia="Tw Cen MT" w:hAnsi="Tahoma" w:cs="Tahoma"/>
      <w:sz w:val="16"/>
      <w:szCs w:val="16"/>
    </w:rPr>
  </w:style>
  <w:style w:type="character" w:customStyle="1" w:styleId="InternetLink">
    <w:name w:val="Internet 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WW8Num1z0">
    <w:name w:val="WW8Num1z0"/>
    <w:qFormat/>
    <w:rsid w:val="00AE1693"/>
  </w:style>
  <w:style w:type="character" w:styleId="CommentReference">
    <w:name w:val="annotation reference"/>
    <w:basedOn w:val="DefaultParagraphFont"/>
    <w:uiPriority w:val="99"/>
    <w:semiHidden/>
    <w:unhideWhenUsed/>
    <w:qFormat/>
    <w:rsid w:val="00992BE6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992BE6"/>
    <w:rPr>
      <w:rFonts w:ascii="Tw Cen MT" w:eastAsia="Tw Cen MT" w:hAnsi="Tw Cen MT" w:cs="Tw Cen MT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992BE6"/>
    <w:rPr>
      <w:rFonts w:ascii="Tw Cen MT" w:eastAsia="Tw Cen MT" w:hAnsi="Tw Cen MT" w:cs="Tw Cen MT"/>
      <w:b/>
      <w:bCs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qFormat/>
    <w:rsid w:val="00D33702"/>
    <w:rPr>
      <w:rFonts w:ascii="Tw Cen MT" w:eastAsia="Tw Cen MT" w:hAnsi="Tw Cen MT" w:cs="Tw Cen MT"/>
    </w:rPr>
  </w:style>
  <w:style w:type="character" w:customStyle="1" w:styleId="ListLabel1">
    <w:name w:val="ListLabel 1"/>
    <w:qFormat/>
    <w:rPr>
      <w:rFonts w:eastAsia="Calibri" w:cs="Calibri"/>
      <w:spacing w:val="-16"/>
      <w:w w:val="100"/>
      <w:sz w:val="18"/>
      <w:szCs w:val="18"/>
    </w:rPr>
  </w:style>
  <w:style w:type="character" w:customStyle="1" w:styleId="ListLabel2">
    <w:name w:val="ListLabel 2"/>
    <w:qFormat/>
    <w:rPr>
      <w:rFonts w:eastAsia="Calibri" w:cs="Calibri"/>
      <w:spacing w:val="-16"/>
      <w:w w:val="100"/>
      <w:sz w:val="18"/>
      <w:szCs w:val="18"/>
    </w:rPr>
  </w:style>
  <w:style w:type="character" w:customStyle="1" w:styleId="ListLabel3">
    <w:name w:val="ListLabel 3"/>
    <w:qFormat/>
    <w:rPr>
      <w:rFonts w:ascii="Calibri" w:eastAsia="Calibri" w:hAnsi="Calibri" w:cs="Calibri"/>
      <w:spacing w:val="-16"/>
      <w:w w:val="100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F3523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992BE6"/>
    <w:rPr>
      <w:sz w:val="20"/>
      <w:szCs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992BE6"/>
    <w:rPr>
      <w:b/>
      <w:bCs/>
    </w:rPr>
  </w:style>
  <w:style w:type="paragraph" w:customStyle="1" w:styleId="Char2CharCharChar">
    <w:name w:val="Char2 Char Char Char"/>
    <w:basedOn w:val="Normal"/>
    <w:qFormat/>
    <w:rsid w:val="00904669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33702"/>
    <w:pPr>
      <w:spacing w:after="120"/>
      <w:ind w:left="360"/>
    </w:pPr>
  </w:style>
  <w:style w:type="paragraph" w:customStyle="1" w:styleId="FrameContents">
    <w:name w:val="Frame Contents"/>
    <w:basedOn w:val="Normal"/>
    <w:qFormat/>
  </w:style>
  <w:style w:type="paragraph" w:customStyle="1" w:styleId="Char2CharCharChar0">
    <w:name w:val="Char2 Char Char Char"/>
    <w:basedOn w:val="Normal"/>
    <w:rsid w:val="00E64395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06DEC-D7DC-4FB3-A7E0-3B684BCA2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QSARMM user</cp:lastModifiedBy>
  <cp:revision>2</cp:revision>
  <dcterms:created xsi:type="dcterms:W3CDTF">2018-02-25T15:25:00Z</dcterms:created>
  <dcterms:modified xsi:type="dcterms:W3CDTF">2018-02-25T15:25:00Z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Created">
    <vt:filetime>2016-08-23T00:00:00Z</vt:filetime>
  </property>
  <property fmtid="{D5CDD505-2E9C-101B-9397-08002B2CF9AE}" pid="5" name="Creator">
    <vt:lpwstr>Adobe InDesign CC 2015 (Windows)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2016-08-23T00:00:00Z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