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2BC" w:rsidRDefault="007422BC" w:rsidP="002249FD">
      <w:pPr>
        <w:pStyle w:val="Default"/>
        <w:jc w:val="center"/>
        <w:rPr>
          <w:b/>
          <w:bCs/>
          <w:sz w:val="40"/>
          <w:szCs w:val="40"/>
        </w:rPr>
      </w:pPr>
      <w:r w:rsidRPr="007422BC">
        <w:rPr>
          <w:b/>
          <w:bCs/>
          <w:sz w:val="40"/>
          <w:szCs w:val="40"/>
        </w:rPr>
        <w:t xml:space="preserve">Synthesis, Characterization of Novel </w:t>
      </w:r>
      <w:proofErr w:type="spellStart"/>
      <w:r w:rsidRPr="007422BC">
        <w:rPr>
          <w:b/>
          <w:bCs/>
          <w:sz w:val="40"/>
          <w:szCs w:val="40"/>
        </w:rPr>
        <w:t>Curcumin</w:t>
      </w:r>
      <w:proofErr w:type="spellEnd"/>
      <w:r w:rsidRPr="007422BC">
        <w:rPr>
          <w:b/>
          <w:bCs/>
          <w:sz w:val="40"/>
          <w:szCs w:val="40"/>
        </w:rPr>
        <w:t xml:space="preserve"> Analogs and Their Biological Activities</w:t>
      </w:r>
    </w:p>
    <w:p w:rsidR="002249FD" w:rsidRPr="002249FD" w:rsidRDefault="002249FD" w:rsidP="002249FD">
      <w:pPr>
        <w:pStyle w:val="Default"/>
        <w:jc w:val="center"/>
        <w:rPr>
          <w:b/>
          <w:bCs/>
          <w:sz w:val="22"/>
          <w:szCs w:val="22"/>
        </w:rPr>
      </w:pPr>
      <w:r w:rsidRPr="002249FD">
        <w:rPr>
          <w:b/>
          <w:bCs/>
          <w:sz w:val="22"/>
          <w:szCs w:val="22"/>
        </w:rPr>
        <w:t xml:space="preserve">Prof. Dr. M. Abdul </w:t>
      </w:r>
      <w:proofErr w:type="spellStart"/>
      <w:r w:rsidRPr="002249FD">
        <w:rPr>
          <w:b/>
          <w:bCs/>
          <w:sz w:val="22"/>
          <w:szCs w:val="22"/>
        </w:rPr>
        <w:t>Qadir</w:t>
      </w:r>
      <w:proofErr w:type="spellEnd"/>
      <w:r w:rsidRPr="002249FD">
        <w:rPr>
          <w:b/>
          <w:bCs/>
          <w:sz w:val="22"/>
          <w:szCs w:val="22"/>
        </w:rPr>
        <w:t xml:space="preserve">, </w:t>
      </w:r>
      <w:proofErr w:type="spellStart"/>
      <w:r w:rsidRPr="002249FD">
        <w:rPr>
          <w:b/>
          <w:bCs/>
          <w:sz w:val="22"/>
          <w:szCs w:val="22"/>
        </w:rPr>
        <w:t>Mahmood</w:t>
      </w:r>
      <w:proofErr w:type="spellEnd"/>
      <w:r w:rsidRPr="002249FD">
        <w:rPr>
          <w:b/>
          <w:bCs/>
          <w:sz w:val="22"/>
          <w:szCs w:val="22"/>
        </w:rPr>
        <w:t xml:space="preserve"> Ahmed </w:t>
      </w:r>
    </w:p>
    <w:p w:rsidR="002249FD" w:rsidRDefault="002249FD" w:rsidP="002249FD">
      <w:pPr>
        <w:pStyle w:val="Default"/>
        <w:jc w:val="center"/>
        <w:rPr>
          <w:b/>
          <w:bCs/>
          <w:sz w:val="22"/>
          <w:szCs w:val="22"/>
        </w:rPr>
      </w:pPr>
      <w:proofErr w:type="gramStart"/>
      <w:r w:rsidRPr="002249FD">
        <w:rPr>
          <w:b/>
          <w:bCs/>
          <w:sz w:val="22"/>
          <w:szCs w:val="22"/>
        </w:rPr>
        <w:t>Institute of Chemistry, University of the Punjab, Lahore, Pakistan.</w:t>
      </w:r>
      <w:proofErr w:type="gramEnd"/>
    </w:p>
    <w:p w:rsidR="002249FD" w:rsidRPr="002249FD" w:rsidRDefault="002249FD" w:rsidP="002249FD">
      <w:pPr>
        <w:pStyle w:val="Default"/>
        <w:jc w:val="center"/>
        <w:rPr>
          <w:sz w:val="22"/>
          <w:szCs w:val="22"/>
        </w:rPr>
      </w:pPr>
    </w:p>
    <w:p w:rsidR="007422BC" w:rsidRPr="007422BC" w:rsidRDefault="007422BC" w:rsidP="007422BC">
      <w:pPr>
        <w:pStyle w:val="Default"/>
        <w:rPr>
          <w:sz w:val="32"/>
          <w:szCs w:val="32"/>
        </w:rPr>
      </w:pPr>
      <w:r w:rsidRPr="007422BC">
        <w:rPr>
          <w:bCs/>
          <w:sz w:val="32"/>
          <w:szCs w:val="32"/>
        </w:rPr>
        <w:t>Abstract</w:t>
      </w:r>
      <w:r>
        <w:rPr>
          <w:bCs/>
          <w:sz w:val="32"/>
          <w:szCs w:val="32"/>
        </w:rPr>
        <w:t>:</w:t>
      </w:r>
    </w:p>
    <w:p w:rsidR="002249FD" w:rsidRPr="002249FD" w:rsidRDefault="002249FD" w:rsidP="002249FD">
      <w:pPr>
        <w:pStyle w:val="Default"/>
        <w:jc w:val="both"/>
      </w:pPr>
      <w:proofErr w:type="spellStart"/>
      <w:r w:rsidRPr="002249FD">
        <w:t>Curcumin</w:t>
      </w:r>
      <w:proofErr w:type="spellEnd"/>
      <w:r w:rsidRPr="002249FD">
        <w:t xml:space="preserve"> has shown large number of pharmacological properties against different phenotypes </w:t>
      </w:r>
      <w:proofErr w:type="gramStart"/>
      <w:r w:rsidRPr="002249FD">
        <w:t xml:space="preserve">of </w:t>
      </w:r>
      <w:r>
        <w:t xml:space="preserve"> </w:t>
      </w:r>
      <w:r w:rsidRPr="002249FD">
        <w:t>various</w:t>
      </w:r>
      <w:proofErr w:type="gramEnd"/>
      <w:r w:rsidRPr="002249FD">
        <w:t xml:space="preserve"> disease models. Different synthetic routes have been employed to develop its </w:t>
      </w:r>
      <w:proofErr w:type="gramStart"/>
      <w:r w:rsidRPr="002249FD">
        <w:t>various</w:t>
      </w:r>
      <w:r>
        <w:t xml:space="preserve"> </w:t>
      </w:r>
      <w:r w:rsidRPr="002249FD">
        <w:t xml:space="preserve"> derivatives</w:t>
      </w:r>
      <w:proofErr w:type="gramEnd"/>
      <w:r w:rsidRPr="002249FD">
        <w:t xml:space="preserve"> for diverse biological functions. In this study Schiff bases, </w:t>
      </w:r>
      <w:proofErr w:type="spellStart"/>
      <w:r w:rsidRPr="002249FD">
        <w:t>pyrazoles</w:t>
      </w:r>
      <w:proofErr w:type="spellEnd"/>
      <w:r w:rsidRPr="002249FD">
        <w:t xml:space="preserve">, </w:t>
      </w:r>
      <w:proofErr w:type="spellStart"/>
      <w:r w:rsidRPr="002249FD">
        <w:t>pyrimidines</w:t>
      </w:r>
      <w:proofErr w:type="spellEnd"/>
      <w:r w:rsidRPr="002249FD">
        <w:t xml:space="preserve"> and sulfonamides bearing </w:t>
      </w:r>
      <w:proofErr w:type="spellStart"/>
      <w:r w:rsidRPr="002249FD">
        <w:t>curcumin</w:t>
      </w:r>
      <w:proofErr w:type="spellEnd"/>
      <w:r w:rsidRPr="002249FD">
        <w:t xml:space="preserve"> scaffold were synthesized to investigate their pharmacological effects. The structures of newly synthesized compounds were described by IR, MS, 1H NMR, 13C NMR spectral data and elemental analysis. Antibacterial and antifungal activities were evaluated for compounds (3-14) with Ciprofloxacin, </w:t>
      </w:r>
      <w:proofErr w:type="spellStart"/>
      <w:r w:rsidRPr="002249FD">
        <w:t>Nystatin</w:t>
      </w:r>
      <w:proofErr w:type="spellEnd"/>
      <w:r w:rsidRPr="002249FD">
        <w:t xml:space="preserve"> and </w:t>
      </w:r>
      <w:proofErr w:type="spellStart"/>
      <w:r w:rsidRPr="002249FD">
        <w:t>Ketoconazole</w:t>
      </w:r>
      <w:proofErr w:type="spellEnd"/>
      <w:r w:rsidRPr="002249FD">
        <w:t xml:space="preserve"> using disc diffusion method and minimum inhibitory concentration values were determined by 96-well plate assay method. Our studies showed that compound 3 has promising antibacterial (MIC: 15.63-31.25 </w:t>
      </w:r>
      <w:proofErr w:type="spellStart"/>
      <w:r w:rsidRPr="002249FD">
        <w:t>μg</w:t>
      </w:r>
      <w:proofErr w:type="spellEnd"/>
      <w:r w:rsidRPr="002249FD">
        <w:t>/</w:t>
      </w:r>
      <w:proofErr w:type="spellStart"/>
      <w:r w:rsidRPr="002249FD">
        <w:t>mL</w:t>
      </w:r>
      <w:proofErr w:type="spellEnd"/>
      <w:r w:rsidRPr="002249FD">
        <w:t xml:space="preserve">) while compound 5 (MIC: 15.63-250 </w:t>
      </w:r>
      <w:proofErr w:type="spellStart"/>
      <w:r w:rsidRPr="002249FD">
        <w:t>μg</w:t>
      </w:r>
      <w:proofErr w:type="spellEnd"/>
      <w:r w:rsidRPr="002249FD">
        <w:t>/</w:t>
      </w:r>
      <w:proofErr w:type="spellStart"/>
      <w:r w:rsidRPr="002249FD">
        <w:t>mL</w:t>
      </w:r>
      <w:proofErr w:type="spellEnd"/>
      <w:r w:rsidRPr="002249FD">
        <w:t xml:space="preserve">) has better antifungal activity as compared to reference drugs. Similarly the combination of more potent compounds 3 and 5 with Ciprofloxacin and </w:t>
      </w:r>
      <w:proofErr w:type="spellStart"/>
      <w:r w:rsidRPr="002249FD">
        <w:t>Nystatin</w:t>
      </w:r>
      <w:proofErr w:type="spellEnd"/>
      <w:r w:rsidRPr="002249FD">
        <w:t xml:space="preserve"> respectively gave significant synergic effect (FIC index value ≤ 1). </w:t>
      </w:r>
    </w:p>
    <w:p w:rsidR="002249FD" w:rsidRPr="002249FD" w:rsidRDefault="002249FD" w:rsidP="002249FD">
      <w:pPr>
        <w:pStyle w:val="Default"/>
        <w:jc w:val="both"/>
      </w:pPr>
      <w:r w:rsidRPr="002249FD">
        <w:t xml:space="preserve">The anti-inflammatory and </w:t>
      </w:r>
      <w:proofErr w:type="spellStart"/>
      <w:r w:rsidRPr="002249FD">
        <w:t>antinociceptive</w:t>
      </w:r>
      <w:proofErr w:type="spellEnd"/>
      <w:r w:rsidRPr="002249FD">
        <w:t xml:space="preserve"> activities of compounds (3-25) were also evaluated with </w:t>
      </w:r>
      <w:proofErr w:type="spellStart"/>
      <w:r w:rsidRPr="002249FD">
        <w:t>Indomethacin</w:t>
      </w:r>
      <w:proofErr w:type="spellEnd"/>
      <w:r w:rsidRPr="002249FD">
        <w:t xml:space="preserve"> and </w:t>
      </w:r>
      <w:proofErr w:type="spellStart"/>
      <w:r w:rsidRPr="002249FD">
        <w:t>Diclofenac</w:t>
      </w:r>
      <w:proofErr w:type="spellEnd"/>
      <w:r w:rsidRPr="002249FD">
        <w:t xml:space="preserve"> sodium in experimental animal models respectively. Compound 20, 21 and 25 exhibited relatively higher prevention of writhing episodes than any other compound with </w:t>
      </w:r>
      <w:proofErr w:type="spellStart"/>
      <w:r w:rsidRPr="002249FD">
        <w:t>antinociceptive</w:t>
      </w:r>
      <w:proofErr w:type="spellEnd"/>
      <w:r w:rsidRPr="002249FD">
        <w:t xml:space="preserve"> activity of 73.2, 74.9 and 71.8 % respectively whereas compound 3 showed highest anti-inflammatory activity (82.0 % paw edema inhibition). </w:t>
      </w:r>
    </w:p>
    <w:p w:rsidR="002249FD" w:rsidRPr="002249FD" w:rsidRDefault="002249FD" w:rsidP="002249FD">
      <w:pPr>
        <w:pStyle w:val="Default"/>
        <w:jc w:val="both"/>
      </w:pPr>
      <w:r w:rsidRPr="002249FD">
        <w:t xml:space="preserve">Cyclooxygenase-2 (COX-2) enzyme inhibition was evaluated with these synthesized compounds (3-25) through in vitro </w:t>
      </w:r>
      <w:proofErr w:type="spellStart"/>
      <w:r w:rsidRPr="002249FD">
        <w:t>cyclooxygenase</w:t>
      </w:r>
      <w:proofErr w:type="spellEnd"/>
      <w:r w:rsidRPr="002249FD">
        <w:t xml:space="preserve"> assays. COX-2 inhibition assays result revealed that compound 25 (75.3 %) was the most active compound. Molecular docking studies were also performed to identify the plausible binding mode of these compounds with COX-2. </w:t>
      </w:r>
    </w:p>
    <w:p w:rsidR="002249FD" w:rsidRPr="002249FD" w:rsidRDefault="002249FD" w:rsidP="002249FD">
      <w:pPr>
        <w:pStyle w:val="Default"/>
        <w:jc w:val="both"/>
      </w:pPr>
      <w:proofErr w:type="spellStart"/>
      <w:r w:rsidRPr="002249FD">
        <w:t>Urease</w:t>
      </w:r>
      <w:proofErr w:type="spellEnd"/>
      <w:r w:rsidRPr="002249FD">
        <w:t xml:space="preserve"> enzyme inhibition was also evaluated through in vitro assays and inhibition assays result revealed that compound 24 was found to be more potent (IC50 = 2.44±0.07 </w:t>
      </w:r>
      <w:proofErr w:type="spellStart"/>
      <w:r w:rsidRPr="002249FD">
        <w:t>μM</w:t>
      </w:r>
      <w:proofErr w:type="spellEnd"/>
      <w:r w:rsidRPr="002249FD">
        <w:t xml:space="preserve">) among the tested compounds (3-25). The compounds with </w:t>
      </w:r>
      <w:proofErr w:type="spellStart"/>
      <w:r w:rsidRPr="002249FD">
        <w:t>diazine</w:t>
      </w:r>
      <w:proofErr w:type="spellEnd"/>
      <w:r w:rsidRPr="002249FD">
        <w:t xml:space="preserve"> ring system showed better </w:t>
      </w:r>
      <w:proofErr w:type="spellStart"/>
      <w:r w:rsidRPr="002249FD">
        <w:t>urease</w:t>
      </w:r>
      <w:proofErr w:type="spellEnd"/>
      <w:r w:rsidRPr="002249FD">
        <w:t xml:space="preserve"> inhibition (IC50 = 11.43±0.21-19.63±0.28 </w:t>
      </w:r>
      <w:proofErr w:type="spellStart"/>
      <w:r w:rsidRPr="002249FD">
        <w:t>μM</w:t>
      </w:r>
      <w:proofErr w:type="spellEnd"/>
      <w:r w:rsidRPr="002249FD">
        <w:t xml:space="preserve">) than the standard </w:t>
      </w:r>
      <w:proofErr w:type="spellStart"/>
      <w:r w:rsidRPr="002249FD">
        <w:t>urease</w:t>
      </w:r>
      <w:proofErr w:type="spellEnd"/>
      <w:r w:rsidRPr="002249FD">
        <w:t xml:space="preserve"> inhibitor </w:t>
      </w:r>
      <w:proofErr w:type="spellStart"/>
      <w:r w:rsidRPr="002249FD">
        <w:t>thiourea</w:t>
      </w:r>
      <w:proofErr w:type="spellEnd"/>
      <w:r w:rsidRPr="002249FD">
        <w:t xml:space="preserve"> (IC50 = 22.61±0.23 </w:t>
      </w:r>
      <w:proofErr w:type="spellStart"/>
      <w:r w:rsidRPr="002249FD">
        <w:t>μM</w:t>
      </w:r>
      <w:proofErr w:type="spellEnd"/>
      <w:r w:rsidRPr="002249FD">
        <w:t xml:space="preserve">). Kinetic data revealed that compounds 5-7, 24 were competitive inhibitors with </w:t>
      </w:r>
      <w:proofErr w:type="spellStart"/>
      <w:r w:rsidRPr="002249FD">
        <w:t>Ki</w:t>
      </w:r>
      <w:proofErr w:type="spellEnd"/>
      <w:r w:rsidRPr="002249FD">
        <w:t xml:space="preserve"> values 20.0, 19.87, 20.23 and 19.11 </w:t>
      </w:r>
      <w:proofErr w:type="spellStart"/>
      <w:r w:rsidRPr="002249FD">
        <w:t>μM</w:t>
      </w:r>
      <w:proofErr w:type="spellEnd"/>
      <w:r w:rsidRPr="002249FD">
        <w:t xml:space="preserve"> respectively. </w:t>
      </w:r>
    </w:p>
    <w:p w:rsidR="002249FD" w:rsidRPr="002249FD" w:rsidRDefault="002249FD" w:rsidP="002249FD">
      <w:pPr>
        <w:pStyle w:val="Default"/>
        <w:jc w:val="both"/>
      </w:pPr>
      <w:r w:rsidRPr="002249FD">
        <w:t xml:space="preserve">Compounds 26-47 were screened for in vitro carbonic </w:t>
      </w:r>
      <w:proofErr w:type="spellStart"/>
      <w:r w:rsidRPr="002249FD">
        <w:t>anhydrase</w:t>
      </w:r>
      <w:proofErr w:type="spellEnd"/>
      <w:r w:rsidRPr="002249FD">
        <w:t xml:space="preserve">-I (human, </w:t>
      </w:r>
      <w:proofErr w:type="spellStart"/>
      <w:r w:rsidRPr="002249FD">
        <w:t>hCAI</w:t>
      </w:r>
      <w:proofErr w:type="spellEnd"/>
      <w:r w:rsidRPr="002249FD">
        <w:t xml:space="preserve">) and carbonic </w:t>
      </w:r>
      <w:proofErr w:type="spellStart"/>
      <w:r w:rsidRPr="002249FD">
        <w:t>anhydrase</w:t>
      </w:r>
      <w:proofErr w:type="spellEnd"/>
      <w:r w:rsidRPr="002249FD">
        <w:t xml:space="preserve">-II (bovine, </w:t>
      </w:r>
      <w:proofErr w:type="spellStart"/>
      <w:r w:rsidRPr="002249FD">
        <w:t>bCAII</w:t>
      </w:r>
      <w:proofErr w:type="spellEnd"/>
      <w:r w:rsidRPr="002249FD">
        <w:t xml:space="preserve">) inhibition assay. Compound 26 showed the </w:t>
      </w:r>
      <w:proofErr w:type="spellStart"/>
      <w:r w:rsidRPr="002249FD">
        <w:t>Ki</w:t>
      </w:r>
      <w:proofErr w:type="spellEnd"/>
      <w:r w:rsidRPr="002249FD">
        <w:t xml:space="preserve"> 0.99 </w:t>
      </w:r>
      <w:proofErr w:type="spellStart"/>
      <w:r w:rsidRPr="002249FD">
        <w:t>μM</w:t>
      </w:r>
      <w:proofErr w:type="spellEnd"/>
      <w:r w:rsidRPr="002249FD">
        <w:t xml:space="preserve"> and had more inhibitory activity on </w:t>
      </w:r>
      <w:proofErr w:type="spellStart"/>
      <w:r w:rsidRPr="002249FD">
        <w:t>hCA</w:t>
      </w:r>
      <w:proofErr w:type="spellEnd"/>
      <w:r w:rsidRPr="002249FD">
        <w:t xml:space="preserve">-I than </w:t>
      </w:r>
      <w:proofErr w:type="spellStart"/>
      <w:r w:rsidRPr="002249FD">
        <w:t>Acetazolamide</w:t>
      </w:r>
      <w:proofErr w:type="spellEnd"/>
      <w:r w:rsidRPr="002249FD">
        <w:t xml:space="preserve"> (AZZ). From kinetic studies the </w:t>
      </w:r>
      <w:proofErr w:type="spellStart"/>
      <w:r w:rsidRPr="002249FD">
        <w:t>Ki</w:t>
      </w:r>
      <w:proofErr w:type="spellEnd"/>
      <w:r w:rsidRPr="002249FD">
        <w:t xml:space="preserve"> values of compound 26, 28 and 42 towards </w:t>
      </w:r>
      <w:proofErr w:type="spellStart"/>
      <w:r w:rsidRPr="002249FD">
        <w:t>bCAII</w:t>
      </w:r>
      <w:proofErr w:type="spellEnd"/>
      <w:r w:rsidRPr="002249FD">
        <w:t xml:space="preserve"> were 0.71, 0.67 and 0.71 </w:t>
      </w:r>
      <w:proofErr w:type="spellStart"/>
      <w:r w:rsidRPr="002249FD">
        <w:t>μM</w:t>
      </w:r>
      <w:proofErr w:type="spellEnd"/>
      <w:r w:rsidRPr="002249FD">
        <w:t xml:space="preserve"> respectively. Compound 28 has comparable </w:t>
      </w:r>
      <w:proofErr w:type="spellStart"/>
      <w:r w:rsidRPr="002249FD">
        <w:t>Ki</w:t>
      </w:r>
      <w:proofErr w:type="spellEnd"/>
      <w:r w:rsidRPr="002249FD">
        <w:t xml:space="preserve"> to AZZ (0.63 </w:t>
      </w:r>
      <w:proofErr w:type="spellStart"/>
      <w:r w:rsidRPr="002249FD">
        <w:t>μM</w:t>
      </w:r>
      <w:proofErr w:type="spellEnd"/>
      <w:r w:rsidRPr="002249FD">
        <w:t xml:space="preserve">) towards </w:t>
      </w:r>
      <w:proofErr w:type="spellStart"/>
      <w:r w:rsidRPr="002249FD">
        <w:t>bCAII</w:t>
      </w:r>
      <w:proofErr w:type="spellEnd"/>
      <w:r w:rsidRPr="002249FD">
        <w:t xml:space="preserve">. </w:t>
      </w:r>
    </w:p>
    <w:p w:rsidR="0014685E" w:rsidRPr="002249FD" w:rsidRDefault="002249FD" w:rsidP="002249FD">
      <w:pPr>
        <w:jc w:val="both"/>
        <w:rPr>
          <w:rFonts w:ascii="Times New Roman" w:hAnsi="Times New Roman" w:cs="Times New Roman"/>
          <w:sz w:val="24"/>
          <w:szCs w:val="24"/>
        </w:rPr>
      </w:pPr>
      <w:r w:rsidRPr="002249FD">
        <w:rPr>
          <w:rFonts w:ascii="Times New Roman" w:hAnsi="Times New Roman" w:cs="Times New Roman"/>
          <w:sz w:val="24"/>
          <w:szCs w:val="24"/>
        </w:rPr>
        <w:t xml:space="preserve">Compounds 48-53 were screened for antibacterial activity, compounds 48 with </w:t>
      </w:r>
      <w:proofErr w:type="spellStart"/>
      <w:r w:rsidRPr="002249FD">
        <w:rPr>
          <w:rFonts w:ascii="Times New Roman" w:hAnsi="Times New Roman" w:cs="Times New Roman"/>
          <w:sz w:val="24"/>
          <w:szCs w:val="24"/>
        </w:rPr>
        <w:t>isoxazole</w:t>
      </w:r>
      <w:proofErr w:type="spellEnd"/>
      <w:r w:rsidRPr="002249FD">
        <w:rPr>
          <w:rFonts w:ascii="Times New Roman" w:hAnsi="Times New Roman" w:cs="Times New Roman"/>
          <w:sz w:val="24"/>
          <w:szCs w:val="24"/>
        </w:rPr>
        <w:t xml:space="preserve"> moiety have moderate antibacterial activity against both the gram positive and gram negative bacteria with highest zone of inhibition (18.7 mm) against </w:t>
      </w:r>
      <w:r w:rsidRPr="002249FD">
        <w:rPr>
          <w:rFonts w:ascii="Times New Roman" w:hAnsi="Times New Roman" w:cs="Times New Roman"/>
          <w:i/>
          <w:iCs/>
          <w:sz w:val="24"/>
          <w:szCs w:val="24"/>
        </w:rPr>
        <w:t xml:space="preserve">S. </w:t>
      </w:r>
      <w:proofErr w:type="spellStart"/>
      <w:r w:rsidRPr="002249FD">
        <w:rPr>
          <w:rFonts w:ascii="Times New Roman" w:hAnsi="Times New Roman" w:cs="Times New Roman"/>
          <w:i/>
          <w:iCs/>
          <w:sz w:val="24"/>
          <w:szCs w:val="24"/>
        </w:rPr>
        <w:t>aureus</w:t>
      </w:r>
      <w:proofErr w:type="spellEnd"/>
      <w:r w:rsidRPr="002249FD">
        <w:rPr>
          <w:rFonts w:ascii="Times New Roman" w:hAnsi="Times New Roman" w:cs="Times New Roman"/>
          <w:i/>
          <w:iCs/>
          <w:sz w:val="24"/>
          <w:szCs w:val="24"/>
        </w:rPr>
        <w:t xml:space="preserve"> </w:t>
      </w:r>
      <w:r w:rsidRPr="002249FD">
        <w:rPr>
          <w:rFonts w:ascii="Times New Roman" w:hAnsi="Times New Roman" w:cs="Times New Roman"/>
          <w:sz w:val="24"/>
          <w:szCs w:val="24"/>
        </w:rPr>
        <w:t xml:space="preserve">with AI value 56.2 % when compared with Ciprofloxacin having MIC &gt; 500 </w:t>
      </w:r>
      <w:proofErr w:type="spellStart"/>
      <w:r w:rsidRPr="002249FD">
        <w:rPr>
          <w:rFonts w:ascii="Times New Roman" w:hAnsi="Times New Roman" w:cs="Times New Roman"/>
          <w:sz w:val="24"/>
          <w:szCs w:val="24"/>
        </w:rPr>
        <w:t>μg</w:t>
      </w:r>
      <w:proofErr w:type="spellEnd"/>
      <w:r w:rsidRPr="002249FD">
        <w:rPr>
          <w:rFonts w:ascii="Times New Roman" w:hAnsi="Times New Roman" w:cs="Times New Roman"/>
          <w:sz w:val="24"/>
          <w:szCs w:val="24"/>
        </w:rPr>
        <w:t>/</w:t>
      </w:r>
      <w:proofErr w:type="spellStart"/>
      <w:r w:rsidRPr="002249FD">
        <w:rPr>
          <w:rFonts w:ascii="Times New Roman" w:hAnsi="Times New Roman" w:cs="Times New Roman"/>
          <w:sz w:val="24"/>
          <w:szCs w:val="24"/>
        </w:rPr>
        <w:t>mL.</w:t>
      </w:r>
      <w:proofErr w:type="spellEnd"/>
      <w:r w:rsidRPr="002249FD">
        <w:rPr>
          <w:rFonts w:ascii="Times New Roman" w:hAnsi="Times New Roman" w:cs="Times New Roman"/>
          <w:sz w:val="24"/>
          <w:szCs w:val="24"/>
        </w:rPr>
        <w:t xml:space="preserve"> While the rest of compounds in this series showed poor antibacterial activity.</w:t>
      </w:r>
    </w:p>
    <w:sectPr w:rsidR="0014685E" w:rsidRPr="002249FD" w:rsidSect="001468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249FD"/>
    <w:rsid w:val="0014685E"/>
    <w:rsid w:val="002249FD"/>
    <w:rsid w:val="007422BC"/>
    <w:rsid w:val="00A84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85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49F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515</Words>
  <Characters>2938</Characters>
  <Application>Microsoft Office Word</Application>
  <DocSecurity>0</DocSecurity>
  <Lines>24</Lines>
  <Paragraphs>6</Paragraphs>
  <ScaleCrop>false</ScaleCrop>
  <Company/>
  <LinksUpToDate>false</LinksUpToDate>
  <CharactersWithSpaces>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puitc</dc:creator>
  <cp:keywords/>
  <dc:description/>
  <cp:lastModifiedBy>puitc</cp:lastModifiedBy>
  <cp:revision>3</cp:revision>
  <dcterms:created xsi:type="dcterms:W3CDTF">2018-01-15T08:20:00Z</dcterms:created>
  <dcterms:modified xsi:type="dcterms:W3CDTF">2018-01-30T10:16:00Z</dcterms:modified>
</cp:coreProperties>
</file>