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7E3" w:rsidRPr="00396C0E" w:rsidRDefault="00E447E3" w:rsidP="00E447E3">
      <w:pPr>
        <w:jc w:val="center"/>
        <w:rPr>
          <w:b/>
          <w:bCs/>
          <w:sz w:val="28"/>
          <w:szCs w:val="28"/>
        </w:rPr>
      </w:pPr>
      <w:r w:rsidRPr="00396C0E">
        <w:rPr>
          <w:b/>
          <w:bCs/>
          <w:sz w:val="28"/>
          <w:szCs w:val="28"/>
        </w:rPr>
        <w:t xml:space="preserve">Evaluation of the </w:t>
      </w:r>
      <w:proofErr w:type="spellStart"/>
      <w:r w:rsidRPr="00396C0E">
        <w:rPr>
          <w:b/>
          <w:bCs/>
          <w:sz w:val="28"/>
          <w:szCs w:val="28"/>
        </w:rPr>
        <w:t>Nephroprotective</w:t>
      </w:r>
      <w:proofErr w:type="spellEnd"/>
      <w:r w:rsidRPr="00396C0E">
        <w:rPr>
          <w:b/>
          <w:bCs/>
          <w:sz w:val="28"/>
          <w:szCs w:val="28"/>
        </w:rPr>
        <w:t xml:space="preserve"> Activity of </w:t>
      </w:r>
      <w:proofErr w:type="spellStart"/>
      <w:r w:rsidRPr="00396C0E">
        <w:rPr>
          <w:b/>
          <w:bCs/>
          <w:i/>
          <w:iCs/>
          <w:sz w:val="28"/>
          <w:szCs w:val="28"/>
        </w:rPr>
        <w:t>Vicia</w:t>
      </w:r>
      <w:proofErr w:type="spellEnd"/>
      <w:r w:rsidRPr="00396C0E">
        <w:rPr>
          <w:b/>
          <w:bCs/>
          <w:i/>
          <w:iCs/>
          <w:sz w:val="28"/>
          <w:szCs w:val="28"/>
        </w:rPr>
        <w:t xml:space="preserve"> </w:t>
      </w:r>
      <w:proofErr w:type="spellStart"/>
      <w:r w:rsidRPr="00396C0E">
        <w:rPr>
          <w:b/>
          <w:bCs/>
          <w:i/>
          <w:iCs/>
          <w:sz w:val="28"/>
          <w:szCs w:val="28"/>
        </w:rPr>
        <w:t>faba</w:t>
      </w:r>
      <w:proofErr w:type="spellEnd"/>
      <w:r w:rsidRPr="00396C0E">
        <w:rPr>
          <w:b/>
          <w:bCs/>
          <w:sz w:val="28"/>
          <w:szCs w:val="28"/>
        </w:rPr>
        <w:t xml:space="preserve"> Leaves Extracts against Gentamicin Induced Nephrotoxicity in Rats</w:t>
      </w:r>
    </w:p>
    <w:p w:rsidR="00021A67" w:rsidRDefault="00021A67" w:rsidP="006D7A4C">
      <w:pPr>
        <w:pStyle w:val="BodyText"/>
        <w:spacing w:before="73" w:line="198" w:lineRule="exact"/>
        <w:ind w:left="100" w:right="5987"/>
        <w:rPr>
          <w:rFonts w:ascii="Arial"/>
        </w:rPr>
      </w:pPr>
      <w:proofErr w:type="spellStart"/>
      <w:r>
        <w:rPr>
          <w:rFonts w:ascii="Arial"/>
        </w:rPr>
        <w:t>Howyda</w:t>
      </w:r>
      <w:proofErr w:type="spellEnd"/>
      <w:r>
        <w:rPr>
          <w:rFonts w:ascii="Arial"/>
        </w:rPr>
        <w:t xml:space="preserve"> H Mohamed </w:t>
      </w:r>
      <w:proofErr w:type="spellStart"/>
      <w:r>
        <w:rPr>
          <w:rFonts w:ascii="Arial"/>
        </w:rPr>
        <w:t>Salih</w:t>
      </w:r>
      <w:proofErr w:type="spellEnd"/>
      <w:r>
        <w:rPr>
          <w:rFonts w:ascii="Arial"/>
        </w:rPr>
        <w:t xml:space="preserve">, </w:t>
      </w:r>
      <w:r w:rsidR="006D7A4C">
        <w:rPr>
          <w:rFonts w:ascii="Arial"/>
        </w:rPr>
        <w:t>B. pharm</w:t>
      </w:r>
      <w:r>
        <w:rPr>
          <w:rFonts w:ascii="Arial"/>
        </w:rPr>
        <w:t>, UMST, Sudan</w:t>
      </w:r>
    </w:p>
    <w:p w:rsidR="005973B9" w:rsidRDefault="006D7A4C" w:rsidP="006D7A4C">
      <w:pPr>
        <w:pStyle w:val="BodyText"/>
        <w:spacing w:before="73" w:line="198" w:lineRule="exact"/>
        <w:ind w:left="100" w:right="5987"/>
        <w:rPr>
          <w:rFonts w:ascii="Arial"/>
        </w:rPr>
      </w:pPr>
      <w:proofErr w:type="spellStart"/>
      <w:r>
        <w:rPr>
          <w:rFonts w:ascii="Arial"/>
        </w:rPr>
        <w:t>Ikram</w:t>
      </w:r>
      <w:proofErr w:type="spellEnd"/>
      <w:r>
        <w:rPr>
          <w:rFonts w:ascii="Arial"/>
        </w:rPr>
        <w:t xml:space="preserve"> Mohamed </w:t>
      </w:r>
      <w:proofErr w:type="spellStart"/>
      <w:r>
        <w:rPr>
          <w:rFonts w:ascii="Arial"/>
        </w:rPr>
        <w:t>Eltaeb</w:t>
      </w:r>
      <w:proofErr w:type="spellEnd"/>
      <w:r>
        <w:rPr>
          <w:rFonts w:ascii="Arial"/>
        </w:rPr>
        <w:t>, PHD</w:t>
      </w:r>
      <w:r w:rsidR="005973B9">
        <w:rPr>
          <w:rFonts w:ascii="Arial"/>
        </w:rPr>
        <w:t xml:space="preserve">, </w:t>
      </w:r>
      <w:r>
        <w:rPr>
          <w:rFonts w:ascii="Arial"/>
        </w:rPr>
        <w:t>UMST, Sudan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bookmarkStart w:id="0" w:name="_GoBack"/>
      <w:bookmarkEnd w:id="0"/>
    </w:p>
    <w:p w:rsidR="00AE3E37" w:rsidRDefault="00A9710C" w:rsidP="00021A67">
      <w:pPr>
        <w:pStyle w:val="Heading3"/>
        <w:spacing w:before="147"/>
        <w:jc w:val="both"/>
      </w:pPr>
      <w:r>
        <w:rPr>
          <w:color w:val="BF5A14"/>
        </w:rPr>
        <w:lastRenderedPageBreak/>
        <w:t>Abstract</w:t>
      </w:r>
      <w:r w:rsidR="00404E5B">
        <w:rPr>
          <w:color w:val="BF5A14"/>
        </w:rPr>
        <w:t xml:space="preserve"> </w:t>
      </w:r>
    </w:p>
    <w:p w:rsidR="006D7A4C" w:rsidRDefault="00A9710C" w:rsidP="00B770FA">
      <w:pPr>
        <w:pStyle w:val="BodyText"/>
        <w:spacing w:before="90" w:line="280" w:lineRule="auto"/>
        <w:ind w:left="100"/>
        <w:jc w:val="both"/>
      </w:pPr>
      <w:r>
        <w:t>Statement of the Problem:</w:t>
      </w:r>
      <w:r w:rsidR="00F44E68">
        <w:t xml:space="preserve"> </w:t>
      </w:r>
      <w:r w:rsidR="00021A67" w:rsidRPr="00021A67">
        <w:t xml:space="preserve">Acute kidney injury is common renal problem characterized by an abrupt reduction in renal function; acute tubular necrosis is a subtype of acute kidney injury caused mainly by medication such as aminoglycosides in high or unadjusted doses. </w:t>
      </w:r>
      <w:proofErr w:type="spellStart"/>
      <w:r w:rsidR="00021A67" w:rsidRPr="00021A67">
        <w:rPr>
          <w:i/>
          <w:iCs/>
        </w:rPr>
        <w:t>Vicia</w:t>
      </w:r>
      <w:proofErr w:type="spellEnd"/>
      <w:r w:rsidR="00021A67" w:rsidRPr="00021A67">
        <w:rPr>
          <w:i/>
          <w:iCs/>
        </w:rPr>
        <w:t xml:space="preserve"> </w:t>
      </w:r>
      <w:proofErr w:type="spellStart"/>
      <w:r w:rsidR="00021A67" w:rsidRPr="00021A67">
        <w:rPr>
          <w:i/>
          <w:iCs/>
        </w:rPr>
        <w:t>faba</w:t>
      </w:r>
      <w:proofErr w:type="spellEnd"/>
      <w:r w:rsidR="00021A67" w:rsidRPr="00021A67">
        <w:rPr>
          <w:i/>
          <w:iCs/>
        </w:rPr>
        <w:t xml:space="preserve"> </w:t>
      </w:r>
      <w:r w:rsidR="00021A67" w:rsidRPr="00021A67">
        <w:t xml:space="preserve">is a widely used legume; mainly for its nutritional value but has additional uses such as muscle relaxant and for treating kidney stones. </w:t>
      </w:r>
    </w:p>
    <w:p w:rsidR="006D7A4C" w:rsidRDefault="00021A67" w:rsidP="00B770FA">
      <w:pPr>
        <w:pStyle w:val="BodyText"/>
        <w:spacing w:before="90" w:line="280" w:lineRule="auto"/>
        <w:ind w:left="100"/>
        <w:jc w:val="both"/>
      </w:pPr>
      <w:r w:rsidRPr="00021A67">
        <w:t xml:space="preserve">The aim of our present study is to evaluate the protective effect of </w:t>
      </w:r>
      <w:proofErr w:type="spellStart"/>
      <w:r w:rsidRPr="00021A67">
        <w:rPr>
          <w:i/>
          <w:iCs/>
        </w:rPr>
        <w:t>Vicia</w:t>
      </w:r>
      <w:proofErr w:type="spellEnd"/>
      <w:r w:rsidRPr="00021A67">
        <w:rPr>
          <w:i/>
          <w:iCs/>
        </w:rPr>
        <w:t xml:space="preserve"> </w:t>
      </w:r>
      <w:proofErr w:type="spellStart"/>
      <w:r w:rsidRPr="00021A67">
        <w:rPr>
          <w:i/>
          <w:iCs/>
        </w:rPr>
        <w:t>faba</w:t>
      </w:r>
      <w:proofErr w:type="spellEnd"/>
      <w:r w:rsidRPr="00021A67">
        <w:t xml:space="preserve"> leaves extracts in experimentally i</w:t>
      </w:r>
      <w:r>
        <w:t xml:space="preserve">nduced nephrotoxic model in rats. </w:t>
      </w:r>
    </w:p>
    <w:p w:rsidR="006D7A4C" w:rsidRDefault="00A9710C" w:rsidP="00B770FA">
      <w:pPr>
        <w:pStyle w:val="BodyText"/>
        <w:spacing w:before="90" w:line="280" w:lineRule="auto"/>
        <w:ind w:left="100"/>
        <w:jc w:val="both"/>
      </w:pPr>
      <w:r>
        <w:t>Methodolog</w:t>
      </w:r>
      <w:r w:rsidR="008756E6">
        <w:t>y &amp; Theoretical Orientation:</w:t>
      </w:r>
      <w:r w:rsidR="00021A67" w:rsidRPr="00021A67">
        <w:rPr>
          <w:sz w:val="28"/>
          <w:szCs w:val="28"/>
        </w:rPr>
        <w:t xml:space="preserve"> </w:t>
      </w:r>
      <w:r w:rsidR="00021A67" w:rsidRPr="00021A67">
        <w:t xml:space="preserve">Rats were induced to produce kidney injury by injecting them with 80mg/kg of gentamicin for 7 days in addition to this the </w:t>
      </w:r>
      <w:proofErr w:type="spellStart"/>
      <w:r w:rsidR="00021A67" w:rsidRPr="00021A67">
        <w:t>ethanolic</w:t>
      </w:r>
      <w:proofErr w:type="spellEnd"/>
      <w:r w:rsidR="00021A67" w:rsidRPr="00021A67">
        <w:t xml:space="preserve"> and aqueous extracts of </w:t>
      </w:r>
      <w:proofErr w:type="spellStart"/>
      <w:r w:rsidR="00021A67" w:rsidRPr="00021A67">
        <w:rPr>
          <w:i/>
          <w:iCs/>
        </w:rPr>
        <w:t>Vicia</w:t>
      </w:r>
      <w:proofErr w:type="spellEnd"/>
      <w:r w:rsidR="00021A67" w:rsidRPr="00021A67">
        <w:rPr>
          <w:i/>
          <w:iCs/>
        </w:rPr>
        <w:t xml:space="preserve"> </w:t>
      </w:r>
      <w:proofErr w:type="spellStart"/>
      <w:r w:rsidR="00021A67" w:rsidRPr="00021A67">
        <w:rPr>
          <w:i/>
          <w:iCs/>
        </w:rPr>
        <w:t>faba</w:t>
      </w:r>
      <w:proofErr w:type="spellEnd"/>
      <w:r w:rsidR="00021A67" w:rsidRPr="00021A67">
        <w:t xml:space="preserve"> leaves 500mg/kg were administered along with the gentamicin for 7 days. On the 8</w:t>
      </w:r>
      <w:r w:rsidR="00021A67" w:rsidRPr="00021A67">
        <w:rPr>
          <w:vertAlign w:val="superscript"/>
        </w:rPr>
        <w:t>th</w:t>
      </w:r>
      <w:r w:rsidR="00021A67" w:rsidRPr="00021A67">
        <w:t xml:space="preserve"> day of the experiment the blood and kidney samples were collected from each animal and used for estimation of creatinine, urea, albumin and total protein</w:t>
      </w:r>
      <w:r>
        <w:t xml:space="preserve">. </w:t>
      </w:r>
    </w:p>
    <w:p w:rsidR="006D7A4C" w:rsidRDefault="00A9710C" w:rsidP="00B770FA">
      <w:pPr>
        <w:pStyle w:val="BodyText"/>
        <w:spacing w:before="90" w:line="280" w:lineRule="auto"/>
        <w:ind w:left="100"/>
        <w:jc w:val="both"/>
      </w:pPr>
      <w:r>
        <w:t>Findings:</w:t>
      </w:r>
      <w:r w:rsidR="00021A67" w:rsidRPr="00021A67">
        <w:rPr>
          <w:sz w:val="28"/>
          <w:szCs w:val="28"/>
        </w:rPr>
        <w:t xml:space="preserve"> </w:t>
      </w:r>
      <w:r w:rsidR="00021A67" w:rsidRPr="00021A67">
        <w:t>Rats being injected only with gentamicin resulted in increased levels of creatinine and urea with a decrease in levels of albumin and total protein as compared to normal control rats</w:t>
      </w:r>
      <w:r>
        <w:t xml:space="preserve">. </w:t>
      </w:r>
    </w:p>
    <w:p w:rsidR="006D7A4C" w:rsidRDefault="00A9710C" w:rsidP="006D7A4C">
      <w:pPr>
        <w:pStyle w:val="BodyText"/>
        <w:spacing w:before="90" w:line="280" w:lineRule="auto"/>
        <w:ind w:left="100"/>
        <w:jc w:val="both"/>
      </w:pPr>
      <w:r>
        <w:t>Conclusion &amp; Significance:</w:t>
      </w:r>
      <w:r w:rsidR="00B770FA" w:rsidRPr="00B770FA">
        <w:rPr>
          <w:sz w:val="28"/>
          <w:szCs w:val="28"/>
        </w:rPr>
        <w:t xml:space="preserve"> </w:t>
      </w:r>
      <w:r w:rsidR="00B770FA" w:rsidRPr="00B770FA">
        <w:t xml:space="preserve">All biomarkers were significantly reversed in the rats administering </w:t>
      </w:r>
      <w:proofErr w:type="spellStart"/>
      <w:r w:rsidR="00B770FA" w:rsidRPr="00B770FA">
        <w:rPr>
          <w:i/>
          <w:iCs/>
        </w:rPr>
        <w:t>Vicia</w:t>
      </w:r>
      <w:proofErr w:type="spellEnd"/>
      <w:r w:rsidR="00B770FA" w:rsidRPr="00B770FA">
        <w:rPr>
          <w:i/>
          <w:iCs/>
        </w:rPr>
        <w:t xml:space="preserve"> </w:t>
      </w:r>
      <w:proofErr w:type="spellStart"/>
      <w:r w:rsidR="00B770FA" w:rsidRPr="00B770FA">
        <w:rPr>
          <w:i/>
          <w:iCs/>
        </w:rPr>
        <w:t>faba</w:t>
      </w:r>
      <w:proofErr w:type="spellEnd"/>
      <w:r w:rsidR="00B770FA" w:rsidRPr="00B770FA">
        <w:rPr>
          <w:i/>
          <w:iCs/>
        </w:rPr>
        <w:t xml:space="preserve"> </w:t>
      </w:r>
      <w:r w:rsidR="00B770FA" w:rsidRPr="00B770FA">
        <w:t xml:space="preserve">extracts with a p value of 0.000, 0.000, 0.02 for creatinine, urea, albumin respectively in the </w:t>
      </w:r>
      <w:proofErr w:type="spellStart"/>
      <w:r w:rsidR="00B770FA" w:rsidRPr="00B770FA">
        <w:t>ethanolic</w:t>
      </w:r>
      <w:proofErr w:type="spellEnd"/>
      <w:r w:rsidR="00B770FA" w:rsidRPr="00B770FA">
        <w:t xml:space="preserve"> extract and 0.000, 0.004, 0.015 for creatinine, urea, albumin respectively in the aqueous extract  however there was no significant effect on the levels of total protein in neither extracts. Histopathological analysis also reveals disruption of tubular cells and presences of tubular casts </w:t>
      </w:r>
      <w:r w:rsidR="006D7A4C">
        <w:t xml:space="preserve">which </w:t>
      </w:r>
      <w:r w:rsidR="00B770FA" w:rsidRPr="00B770FA">
        <w:t xml:space="preserve">was reduced in rats treated with </w:t>
      </w:r>
      <w:proofErr w:type="spellStart"/>
      <w:r w:rsidR="00B770FA" w:rsidRPr="00B770FA">
        <w:rPr>
          <w:i/>
          <w:iCs/>
        </w:rPr>
        <w:t>Vicia</w:t>
      </w:r>
      <w:proofErr w:type="spellEnd"/>
      <w:r w:rsidR="00B770FA" w:rsidRPr="00B770FA">
        <w:rPr>
          <w:i/>
          <w:iCs/>
        </w:rPr>
        <w:t xml:space="preserve"> </w:t>
      </w:r>
      <w:proofErr w:type="spellStart"/>
      <w:r w:rsidR="00B770FA" w:rsidRPr="00B770FA">
        <w:rPr>
          <w:i/>
          <w:iCs/>
        </w:rPr>
        <w:t>faba</w:t>
      </w:r>
      <w:proofErr w:type="spellEnd"/>
      <w:r w:rsidR="00B770FA" w:rsidRPr="00B770FA">
        <w:t xml:space="preserve">. These data suggest preventive effect of </w:t>
      </w:r>
      <w:proofErr w:type="spellStart"/>
      <w:r w:rsidR="00B770FA" w:rsidRPr="00B770FA">
        <w:rPr>
          <w:i/>
          <w:iCs/>
        </w:rPr>
        <w:t>Vicia</w:t>
      </w:r>
      <w:proofErr w:type="spellEnd"/>
      <w:r w:rsidR="00B770FA" w:rsidRPr="00B770FA">
        <w:rPr>
          <w:i/>
          <w:iCs/>
        </w:rPr>
        <w:t xml:space="preserve"> </w:t>
      </w:r>
      <w:proofErr w:type="spellStart"/>
      <w:r w:rsidR="00B770FA" w:rsidRPr="00B770FA">
        <w:rPr>
          <w:i/>
          <w:iCs/>
        </w:rPr>
        <w:t>faba</w:t>
      </w:r>
      <w:proofErr w:type="spellEnd"/>
      <w:r w:rsidR="00B770FA" w:rsidRPr="00B770FA">
        <w:t xml:space="preserve"> against gentamicin induced nephrotoxicity, also indicates that the </w:t>
      </w:r>
      <w:proofErr w:type="spellStart"/>
      <w:r w:rsidR="00B770FA" w:rsidRPr="00B770FA">
        <w:t>ethanolic</w:t>
      </w:r>
      <w:proofErr w:type="spellEnd"/>
      <w:r w:rsidR="00B770FA" w:rsidRPr="00B770FA">
        <w:t xml:space="preserve"> extract possess a higher activity</w:t>
      </w:r>
    </w:p>
    <w:p w:rsidR="00AE3E37" w:rsidRDefault="006D7A4C" w:rsidP="006D7A4C">
      <w:pPr>
        <w:pStyle w:val="BodyText"/>
        <w:spacing w:before="90" w:line="280" w:lineRule="auto"/>
        <w:ind w:left="100"/>
        <w:jc w:val="both"/>
      </w:pPr>
      <w:r>
        <w:t>Recommendations: Further research should be done o</w:t>
      </w:r>
      <w:r w:rsidR="00E447E3">
        <w:t xml:space="preserve">n </w:t>
      </w:r>
      <w:proofErr w:type="spellStart"/>
      <w:r w:rsidR="00E447E3">
        <w:t>Nephroprotective</w:t>
      </w:r>
      <w:proofErr w:type="spellEnd"/>
      <w:r w:rsidR="00E447E3">
        <w:t xml:space="preserve"> activity of </w:t>
      </w:r>
      <w:proofErr w:type="spellStart"/>
      <w:r w:rsidR="00E447E3" w:rsidRPr="00E447E3">
        <w:rPr>
          <w:i/>
          <w:iCs/>
        </w:rPr>
        <w:t>Vicia</w:t>
      </w:r>
      <w:proofErr w:type="spellEnd"/>
      <w:r w:rsidR="00E447E3" w:rsidRPr="00E447E3">
        <w:rPr>
          <w:i/>
          <w:iCs/>
        </w:rPr>
        <w:t xml:space="preserve"> </w:t>
      </w:r>
      <w:proofErr w:type="spellStart"/>
      <w:r w:rsidR="00E447E3" w:rsidRPr="00E447E3">
        <w:rPr>
          <w:i/>
          <w:iCs/>
        </w:rPr>
        <w:t>f</w:t>
      </w:r>
      <w:r w:rsidRPr="00E447E3">
        <w:rPr>
          <w:i/>
          <w:iCs/>
        </w:rPr>
        <w:t>aba</w:t>
      </w:r>
      <w:proofErr w:type="spellEnd"/>
      <w:r>
        <w:t xml:space="preserve"> </w:t>
      </w:r>
      <w:r w:rsidR="00E447E3">
        <w:t>to detect the active phytochemicals present in it.</w:t>
      </w:r>
    </w:p>
    <w:p w:rsidR="00AE3E37" w:rsidRDefault="00A9710C">
      <w:pPr>
        <w:pStyle w:val="Heading3"/>
        <w:spacing w:before="74"/>
      </w:pPr>
      <w:r>
        <w:rPr>
          <w:b w:val="0"/>
        </w:rPr>
        <w:br w:type="column"/>
      </w:r>
      <w:r>
        <w:rPr>
          <w:color w:val="BF5A14"/>
        </w:rPr>
        <w:lastRenderedPageBreak/>
        <w:t>Image</w:t>
      </w:r>
    </w:p>
    <w:p w:rsidR="00AE3E37" w:rsidRDefault="00915827">
      <w:pPr>
        <w:pStyle w:val="BodyText"/>
        <w:spacing w:before="2"/>
        <w:rPr>
          <w:rFonts w:ascii="Arial"/>
          <w:b/>
          <w:sz w:val="16"/>
        </w:rPr>
      </w:pPr>
      <w:r>
        <w:rPr>
          <w:rFonts w:ascii="Arial" w:eastAsia="Times New Roman" w:hAnsi="Arial"/>
          <w:noProof/>
        </w:rPr>
        <w:drawing>
          <wp:inline distT="0" distB="0" distL="0" distR="0" wp14:anchorId="5A580AB7" wp14:editId="7E9FF7E7">
            <wp:extent cx="3503980" cy="1755648"/>
            <wp:effectExtent l="0" t="0" r="1270" b="0"/>
            <wp:docPr id="2" name="Picture 1" descr="/storage/emulated/0/.polarisOffice5/polarisTemp/fImage49809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orage/emulated/0/.polarisOffice5/polarisTemp/fImage4980913.jpeg"/>
                    <pic:cNvPicPr>
                      <a:picLocks noChangeAspect="1" noChangeArrowheads="1"/>
                    </pic:cNvPicPr>
                  </pic:nvPicPr>
                  <pic:blipFill>
                    <a:blip r:embed="rId10">
                      <a:extLst>
                        <a:ext uri="{BEBA8EAE-BF5A-486C-A8C5-ECC9F3942E4B}">
                          <a14:imgProps xmlns:a14="http://schemas.microsoft.com/office/drawing/2010/main">
                            <a14:imgLayer r:embed="rId11">
                              <a14:imgEffect>
                                <a14:colorTemperature colorTemp="11200"/>
                              </a14:imgEffect>
                              <a14:imgEffect>
                                <a14:brightnessContrast contrast="-20000"/>
                              </a14:imgEffect>
                            </a14:imgLayer>
                          </a14:imgProps>
                        </a:ext>
                      </a:extLst>
                    </a:blip>
                    <a:stretch>
                      <a:fillRect/>
                    </a:stretch>
                  </pic:blipFill>
                  <pic:spPr>
                    <a:xfrm>
                      <a:off x="0" y="0"/>
                      <a:ext cx="3501761" cy="1754536"/>
                    </a:xfrm>
                    <a:prstGeom prst="rect">
                      <a:avLst/>
                    </a:prstGeom>
                    <a:noFill/>
                    <a:ln w="3175" cap="flat" cmpd="sng">
                      <a:noFill/>
                      <a:prstDash/>
                      <a:miter lim="800000"/>
                    </a:ln>
                  </pic:spPr>
                </pic:pic>
              </a:graphicData>
            </a:graphic>
          </wp:inline>
        </w:drawing>
      </w:r>
    </w:p>
    <w:p w:rsidR="005973B9" w:rsidRPr="00915827" w:rsidRDefault="00915827" w:rsidP="00915827">
      <w:pPr>
        <w:pStyle w:val="ParaAttribute4"/>
        <w:wordWrap w:val="0"/>
        <w:spacing w:line="360" w:lineRule="auto"/>
        <w:rPr>
          <w:rFonts w:asciiTheme="majorBidi" w:hAnsiTheme="majorBidi" w:cstheme="majorBidi"/>
          <w:sz w:val="16"/>
          <w:szCs w:val="16"/>
          <w:shd w:val="clear" w:color="auto" w:fill="FFFFFF"/>
        </w:rPr>
      </w:pPr>
      <w:r>
        <w:rPr>
          <w:rStyle w:val="CharAttribute1"/>
          <w:rFonts w:asciiTheme="majorBidi" w:eastAsia="Batang" w:hAnsiTheme="majorBidi" w:cstheme="majorBidi"/>
          <w:b/>
          <w:bCs/>
          <w:sz w:val="16"/>
          <w:szCs w:val="16"/>
        </w:rPr>
        <w:t>Figure</w:t>
      </w:r>
      <w:r w:rsidRPr="00915827">
        <w:rPr>
          <w:rStyle w:val="CharAttribute1"/>
          <w:rFonts w:asciiTheme="majorBidi" w:eastAsia="Batang" w:hAnsiTheme="majorBidi" w:cstheme="majorBidi"/>
          <w:b/>
          <w:bCs/>
          <w:sz w:val="16"/>
          <w:szCs w:val="16"/>
        </w:rPr>
        <w:t xml:space="preserve">: </w:t>
      </w:r>
      <w:r w:rsidRPr="00915827">
        <w:rPr>
          <w:rStyle w:val="CharAttribute1"/>
          <w:rFonts w:asciiTheme="majorBidi" w:eastAsia="Batang" w:hAnsiTheme="majorBidi" w:cstheme="majorBidi"/>
          <w:sz w:val="16"/>
          <w:szCs w:val="16"/>
        </w:rPr>
        <w:t>Schematic representation of (</w:t>
      </w:r>
      <w:r w:rsidRPr="00915827">
        <w:rPr>
          <w:rStyle w:val="CharAttribute22"/>
          <w:rFonts w:asciiTheme="majorBidi" w:eastAsia="Batang" w:hAnsiTheme="majorBidi" w:cstheme="majorBidi"/>
          <w:sz w:val="16"/>
          <w:szCs w:val="16"/>
        </w:rPr>
        <w:t>a</w:t>
      </w:r>
      <w:r w:rsidRPr="00915827">
        <w:rPr>
          <w:rStyle w:val="CharAttribute1"/>
          <w:rFonts w:asciiTheme="majorBidi" w:eastAsia="Batang" w:hAnsiTheme="majorBidi" w:cstheme="majorBidi"/>
          <w:sz w:val="16"/>
          <w:szCs w:val="16"/>
        </w:rPr>
        <w:t>) Pathophysiological and (</w:t>
      </w:r>
      <w:r w:rsidRPr="00915827">
        <w:rPr>
          <w:rStyle w:val="CharAttribute22"/>
          <w:rFonts w:asciiTheme="majorBidi" w:eastAsia="Batang" w:hAnsiTheme="majorBidi" w:cstheme="majorBidi"/>
          <w:sz w:val="16"/>
          <w:szCs w:val="16"/>
        </w:rPr>
        <w:t>b</w:t>
      </w:r>
      <w:r w:rsidRPr="00915827">
        <w:rPr>
          <w:rStyle w:val="CharAttribute1"/>
          <w:rFonts w:asciiTheme="majorBidi" w:eastAsia="Batang" w:hAnsiTheme="majorBidi" w:cstheme="majorBidi"/>
          <w:sz w:val="16"/>
          <w:szCs w:val="16"/>
        </w:rPr>
        <w:t xml:space="preserve">) Cellular </w:t>
      </w:r>
      <w:r>
        <w:rPr>
          <w:rStyle w:val="CharAttribute1"/>
          <w:rFonts w:asciiTheme="majorBidi" w:eastAsia="Batang" w:hAnsiTheme="majorBidi" w:cstheme="majorBidi"/>
          <w:sz w:val="16"/>
          <w:szCs w:val="16"/>
        </w:rPr>
        <w:t xml:space="preserve">       </w:t>
      </w:r>
      <w:r w:rsidRPr="00915827">
        <w:rPr>
          <w:rStyle w:val="CharAttribute1"/>
          <w:rFonts w:asciiTheme="majorBidi" w:eastAsia="Batang" w:hAnsiTheme="majorBidi" w:cstheme="majorBidi"/>
          <w:sz w:val="16"/>
          <w:szCs w:val="16"/>
        </w:rPr>
        <w:t>Surviving cells that remain adherent to contribute to repair.</w:t>
      </w:r>
      <w:r w:rsidR="005973B9">
        <w:rPr>
          <w:rFonts w:ascii="Arial"/>
          <w:b/>
          <w:color w:val="BF5A14"/>
        </w:rPr>
        <w:br/>
        <w:t>Recent Publications</w:t>
      </w:r>
    </w:p>
    <w:p w:rsidR="00B153BB" w:rsidRPr="00BE201A" w:rsidRDefault="00B153BB" w:rsidP="00B153BB">
      <w:pPr>
        <w:pStyle w:val="ParaAttribute0"/>
        <w:numPr>
          <w:ilvl w:val="0"/>
          <w:numId w:val="3"/>
        </w:numPr>
        <w:wordWrap w:val="0"/>
        <w:spacing w:after="240" w:line="360" w:lineRule="auto"/>
        <w:jc w:val="both"/>
        <w:rPr>
          <w:rFonts w:asciiTheme="minorHAnsi" w:eastAsia="Times New Roman" w:hAnsiTheme="minorHAnsi" w:cstheme="majorBidi"/>
          <w:sz w:val="18"/>
          <w:szCs w:val="18"/>
        </w:rPr>
      </w:pPr>
      <w:r w:rsidRPr="00BE201A">
        <w:rPr>
          <w:rStyle w:val="CharAttribute7"/>
          <w:rFonts w:asciiTheme="minorHAnsi" w:eastAsia="Batang" w:hAnsiTheme="minorHAnsi" w:cstheme="majorBidi"/>
          <w:sz w:val="18"/>
          <w:szCs w:val="18"/>
        </w:rPr>
        <w:t xml:space="preserve">Warnock DG. Towards a definition and classification of acute kidney injury. J. Am. Soc. </w:t>
      </w:r>
      <w:proofErr w:type="spellStart"/>
      <w:r w:rsidRPr="00BE201A">
        <w:rPr>
          <w:rStyle w:val="CharAttribute7"/>
          <w:rFonts w:asciiTheme="minorHAnsi" w:eastAsia="Batang" w:hAnsiTheme="minorHAnsi" w:cstheme="majorBidi"/>
          <w:sz w:val="18"/>
          <w:szCs w:val="18"/>
        </w:rPr>
        <w:t>Nephrol</w:t>
      </w:r>
      <w:proofErr w:type="spellEnd"/>
      <w:r w:rsidRPr="00BE201A">
        <w:rPr>
          <w:rStyle w:val="CharAttribute7"/>
          <w:rFonts w:asciiTheme="minorHAnsi" w:eastAsia="Batang" w:hAnsiTheme="minorHAnsi" w:cstheme="majorBidi"/>
          <w:sz w:val="18"/>
          <w:szCs w:val="18"/>
        </w:rPr>
        <w:t>. 2005</w:t>
      </w:r>
      <w:proofErr w:type="gramStart"/>
      <w:r w:rsidRPr="00BE201A">
        <w:rPr>
          <w:rStyle w:val="CharAttribute7"/>
          <w:rFonts w:asciiTheme="minorHAnsi" w:eastAsia="Batang" w:hAnsiTheme="minorHAnsi" w:cstheme="majorBidi"/>
          <w:sz w:val="18"/>
          <w:szCs w:val="18"/>
        </w:rPr>
        <w:t>;16:3149</w:t>
      </w:r>
      <w:proofErr w:type="gramEnd"/>
      <w:r w:rsidRPr="00BE201A">
        <w:rPr>
          <w:rStyle w:val="CharAttribute7"/>
          <w:rFonts w:asciiTheme="minorHAnsi" w:eastAsia="Batang" w:hAnsiTheme="minorHAnsi" w:cstheme="majorBidi"/>
          <w:sz w:val="18"/>
          <w:szCs w:val="18"/>
        </w:rPr>
        <w:t>–50. [</w:t>
      </w:r>
      <w:hyperlink r:id="rId12">
        <w:r w:rsidRPr="00BE201A">
          <w:rPr>
            <w:rStyle w:val="CharAttribute8"/>
            <w:rFonts w:asciiTheme="minorHAnsi" w:eastAsia="Batang" w:hAnsiTheme="minorHAnsi" w:cstheme="majorBidi"/>
            <w:sz w:val="18"/>
            <w:szCs w:val="18"/>
          </w:rPr>
          <w:t>PubMed</w:t>
        </w:r>
      </w:hyperlink>
      <w:r w:rsidRPr="00BE201A">
        <w:rPr>
          <w:rStyle w:val="CharAttribute7"/>
          <w:rFonts w:asciiTheme="minorHAnsi" w:eastAsia="Batang" w:hAnsiTheme="minorHAnsi" w:cstheme="majorBidi"/>
          <w:sz w:val="18"/>
          <w:szCs w:val="18"/>
        </w:rPr>
        <w:t>][</w:t>
      </w:r>
      <w:hyperlink r:id="rId13" w:anchor="R1">
        <w:r w:rsidRPr="00BE201A">
          <w:rPr>
            <w:rStyle w:val="CharAttribute11"/>
            <w:rFonts w:asciiTheme="minorHAnsi" w:eastAsia="Batang" w:hAnsiTheme="minorHAnsi" w:cstheme="majorBidi"/>
            <w:sz w:val="18"/>
            <w:szCs w:val="18"/>
          </w:rPr>
          <w:t>Ref list</w:t>
        </w:r>
      </w:hyperlink>
      <w:r w:rsidRPr="00BE201A">
        <w:rPr>
          <w:rStyle w:val="CharAttribute7"/>
          <w:rFonts w:asciiTheme="minorHAnsi" w:eastAsia="Batang" w:hAnsiTheme="minorHAnsi" w:cstheme="majorBidi"/>
          <w:sz w:val="18"/>
          <w:szCs w:val="18"/>
        </w:rPr>
        <w:t>]</w:t>
      </w:r>
    </w:p>
    <w:p w:rsidR="005973B9" w:rsidRPr="00BE201A" w:rsidRDefault="00B153BB" w:rsidP="00B153BB">
      <w:pPr>
        <w:pStyle w:val="ParaAttribute5"/>
        <w:numPr>
          <w:ilvl w:val="0"/>
          <w:numId w:val="3"/>
        </w:numPr>
        <w:wordWrap w:val="0"/>
        <w:spacing w:line="360" w:lineRule="auto"/>
        <w:jc w:val="both"/>
        <w:rPr>
          <w:rFonts w:asciiTheme="minorHAnsi" w:eastAsia="Times New Roman" w:hAnsiTheme="minorHAnsi" w:cstheme="majorBidi"/>
          <w:sz w:val="18"/>
          <w:szCs w:val="18"/>
        </w:rPr>
      </w:pPr>
      <w:r w:rsidRPr="00BE201A">
        <w:rPr>
          <w:rStyle w:val="CharAttribute7"/>
          <w:rFonts w:asciiTheme="minorHAnsi" w:eastAsia="Batang" w:hAnsiTheme="minorHAnsi" w:cstheme="majorBidi"/>
          <w:sz w:val="18"/>
          <w:szCs w:val="18"/>
        </w:rPr>
        <w:t xml:space="preserve">Singh, A. and </w:t>
      </w:r>
      <w:proofErr w:type="spellStart"/>
      <w:r w:rsidRPr="00BE201A">
        <w:rPr>
          <w:rStyle w:val="CharAttribute7"/>
          <w:rFonts w:asciiTheme="minorHAnsi" w:eastAsia="Batang" w:hAnsiTheme="minorHAnsi" w:cstheme="majorBidi"/>
          <w:sz w:val="18"/>
          <w:szCs w:val="18"/>
        </w:rPr>
        <w:t>Mamibhushan</w:t>
      </w:r>
      <w:proofErr w:type="spellEnd"/>
      <w:r w:rsidRPr="00BE201A">
        <w:rPr>
          <w:rStyle w:val="CharAttribute7"/>
          <w:rFonts w:asciiTheme="minorHAnsi" w:eastAsia="Batang" w:hAnsiTheme="minorHAnsi" w:cstheme="majorBidi"/>
          <w:sz w:val="18"/>
          <w:szCs w:val="18"/>
        </w:rPr>
        <w:t xml:space="preserve">, N. (2013). An assessment of </w:t>
      </w:r>
      <w:proofErr w:type="spellStart"/>
      <w:r w:rsidRPr="00BE201A">
        <w:rPr>
          <w:rStyle w:val="CharAttribute7"/>
          <w:rFonts w:asciiTheme="minorHAnsi" w:eastAsia="Batang" w:hAnsiTheme="minorHAnsi" w:cstheme="majorBidi"/>
          <w:sz w:val="18"/>
          <w:szCs w:val="18"/>
        </w:rPr>
        <w:t>faba</w:t>
      </w:r>
      <w:proofErr w:type="spellEnd"/>
      <w:r w:rsidRPr="00BE201A">
        <w:rPr>
          <w:rStyle w:val="CharAttribute7"/>
          <w:rFonts w:asciiTheme="minorHAnsi" w:eastAsia="Batang" w:hAnsiTheme="minorHAnsi" w:cstheme="majorBidi"/>
          <w:sz w:val="18"/>
          <w:szCs w:val="18"/>
        </w:rPr>
        <w:t xml:space="preserve"> bean (</w:t>
      </w:r>
      <w:proofErr w:type="spellStart"/>
      <w:r w:rsidRPr="00BE201A">
        <w:rPr>
          <w:rStyle w:val="CharAttribute7"/>
          <w:rFonts w:asciiTheme="minorHAnsi" w:eastAsia="Batang" w:hAnsiTheme="minorHAnsi" w:cstheme="majorBidi"/>
          <w:sz w:val="18"/>
          <w:szCs w:val="18"/>
        </w:rPr>
        <w:t>vicia</w:t>
      </w:r>
      <w:proofErr w:type="spellEnd"/>
      <w:r w:rsidRPr="00BE201A">
        <w:rPr>
          <w:rStyle w:val="CharAttribute7"/>
          <w:rFonts w:asciiTheme="minorHAnsi" w:eastAsia="Batang" w:hAnsiTheme="minorHAnsi" w:cstheme="majorBidi"/>
          <w:sz w:val="18"/>
          <w:szCs w:val="18"/>
        </w:rPr>
        <w:t xml:space="preserve"> </w:t>
      </w:r>
      <w:proofErr w:type="spellStart"/>
      <w:r w:rsidRPr="00BE201A">
        <w:rPr>
          <w:rStyle w:val="CharAttribute7"/>
          <w:rFonts w:asciiTheme="minorHAnsi" w:eastAsia="Batang" w:hAnsiTheme="minorHAnsi" w:cstheme="majorBidi"/>
          <w:sz w:val="18"/>
          <w:szCs w:val="18"/>
        </w:rPr>
        <w:t>faba</w:t>
      </w:r>
      <w:proofErr w:type="spellEnd"/>
      <w:r w:rsidRPr="00BE201A">
        <w:rPr>
          <w:rStyle w:val="CharAttribute7"/>
          <w:rFonts w:asciiTheme="minorHAnsi" w:eastAsia="Batang" w:hAnsiTheme="minorHAnsi" w:cstheme="majorBidi"/>
          <w:sz w:val="18"/>
          <w:szCs w:val="18"/>
        </w:rPr>
        <w:t xml:space="preserve"> L.) current status and future </w:t>
      </w:r>
      <w:proofErr w:type="spellStart"/>
      <w:r w:rsidRPr="00BE201A">
        <w:rPr>
          <w:rStyle w:val="CharAttribute7"/>
          <w:rFonts w:asciiTheme="minorHAnsi" w:eastAsia="Batang" w:hAnsiTheme="minorHAnsi" w:cstheme="majorBidi"/>
          <w:sz w:val="18"/>
          <w:szCs w:val="18"/>
        </w:rPr>
        <w:t>prospect.</w:t>
      </w:r>
      <w:r w:rsidRPr="00BE201A">
        <w:rPr>
          <w:rStyle w:val="CharAttribute8"/>
          <w:rFonts w:asciiTheme="minorHAnsi" w:eastAsia="Batang" w:hAnsiTheme="minorHAnsi" w:cstheme="majorBidi"/>
          <w:i/>
          <w:sz w:val="18"/>
          <w:szCs w:val="18"/>
        </w:rPr>
        <w:t>African</w:t>
      </w:r>
      <w:proofErr w:type="spellEnd"/>
      <w:r w:rsidRPr="00BE201A">
        <w:rPr>
          <w:rStyle w:val="CharAttribute8"/>
          <w:rFonts w:asciiTheme="minorHAnsi" w:eastAsia="Batang" w:hAnsiTheme="minorHAnsi" w:cstheme="majorBidi"/>
          <w:i/>
          <w:sz w:val="18"/>
          <w:szCs w:val="18"/>
        </w:rPr>
        <w:t xml:space="preserve"> journal of Agriculture Research</w:t>
      </w:r>
      <w:r w:rsidRPr="00BE201A">
        <w:rPr>
          <w:rStyle w:val="CharAttribute7"/>
          <w:rFonts w:asciiTheme="minorHAnsi" w:eastAsia="Batang" w:hAnsiTheme="minorHAnsi" w:cstheme="majorBidi"/>
          <w:sz w:val="18"/>
          <w:szCs w:val="18"/>
        </w:rPr>
        <w:t>, [online] Vol</w:t>
      </w:r>
      <w:proofErr w:type="gramStart"/>
      <w:r w:rsidRPr="00BE201A">
        <w:rPr>
          <w:rStyle w:val="CharAttribute7"/>
          <w:rFonts w:asciiTheme="minorHAnsi" w:eastAsia="Batang" w:hAnsiTheme="minorHAnsi" w:cstheme="majorBidi"/>
          <w:sz w:val="18"/>
          <w:szCs w:val="18"/>
        </w:rPr>
        <w:t>,8</w:t>
      </w:r>
      <w:proofErr w:type="gramEnd"/>
      <w:r w:rsidRPr="00BE201A">
        <w:rPr>
          <w:rStyle w:val="CharAttribute7"/>
          <w:rFonts w:asciiTheme="minorHAnsi" w:eastAsia="Batang" w:hAnsiTheme="minorHAnsi" w:cstheme="majorBidi"/>
          <w:sz w:val="18"/>
          <w:szCs w:val="18"/>
        </w:rPr>
        <w:t>(50)(1991-637X), pp.6635-6641. Available at: http://www.academicjournald.org/AJAR [Accessed 22 Jun. 2017].</w:t>
      </w:r>
    </w:p>
    <w:p w:rsidR="00BE201A" w:rsidRPr="00BE201A" w:rsidRDefault="00BE201A" w:rsidP="00BE201A">
      <w:pPr>
        <w:pStyle w:val="ListParagraph"/>
        <w:numPr>
          <w:ilvl w:val="0"/>
          <w:numId w:val="3"/>
        </w:numPr>
        <w:wordWrap w:val="0"/>
        <w:autoSpaceDE w:val="0"/>
        <w:autoSpaceDN w:val="0"/>
        <w:spacing w:before="0" w:line="360" w:lineRule="auto"/>
        <w:rPr>
          <w:rFonts w:asciiTheme="minorHAnsi" w:eastAsia="Times New Roman" w:hAnsiTheme="minorHAnsi" w:cstheme="majorBidi"/>
          <w:sz w:val="18"/>
          <w:szCs w:val="18"/>
        </w:rPr>
      </w:pPr>
      <w:r w:rsidRPr="00BE201A">
        <w:rPr>
          <w:rStyle w:val="CharAttribute19"/>
          <w:rFonts w:asciiTheme="minorHAnsi" w:eastAsiaTheme="minorHAnsi" w:hAnsiTheme="minorHAnsi" w:cstheme="majorBidi"/>
          <w:sz w:val="18"/>
          <w:szCs w:val="18"/>
        </w:rPr>
        <w:t>Abdel-Raheem I. T., Abdel-</w:t>
      </w:r>
      <w:proofErr w:type="spellStart"/>
      <w:r w:rsidRPr="00BE201A">
        <w:rPr>
          <w:rStyle w:val="CharAttribute19"/>
          <w:rFonts w:asciiTheme="minorHAnsi" w:eastAsiaTheme="minorHAnsi" w:hAnsiTheme="minorHAnsi" w:cstheme="majorBidi"/>
          <w:sz w:val="18"/>
          <w:szCs w:val="18"/>
        </w:rPr>
        <w:t>Ghany</w:t>
      </w:r>
      <w:proofErr w:type="spellEnd"/>
      <w:r w:rsidRPr="00BE201A">
        <w:rPr>
          <w:rStyle w:val="CharAttribute19"/>
          <w:rFonts w:asciiTheme="minorHAnsi" w:eastAsiaTheme="minorHAnsi" w:hAnsiTheme="minorHAnsi" w:cstheme="majorBidi"/>
          <w:sz w:val="18"/>
          <w:szCs w:val="18"/>
        </w:rPr>
        <w:t xml:space="preserve"> A. A., and Mohamed G. A., “Protective effect of        quercetin against gentamicin-induced nephrotoxicity in rats,” </w:t>
      </w:r>
      <w:r w:rsidRPr="00BE201A">
        <w:rPr>
          <w:rStyle w:val="CharAttribute20"/>
          <w:rFonts w:asciiTheme="minorHAnsi" w:eastAsiaTheme="minorHAnsi" w:hAnsiTheme="minorHAnsi" w:cstheme="majorBidi"/>
          <w:sz w:val="18"/>
          <w:szCs w:val="18"/>
        </w:rPr>
        <w:t>Biological and Pharmaceutical Bulletin</w:t>
      </w:r>
      <w:r w:rsidRPr="00BE201A">
        <w:rPr>
          <w:rStyle w:val="CharAttribute19"/>
          <w:rFonts w:asciiTheme="minorHAnsi" w:eastAsiaTheme="minorHAnsi" w:hAnsiTheme="minorHAnsi" w:cstheme="majorBidi"/>
          <w:sz w:val="18"/>
          <w:szCs w:val="18"/>
        </w:rPr>
        <w:t xml:space="preserve">, vol. 32, no. 1, pp. 61–67, 2009. </w:t>
      </w:r>
      <w:hyperlink r:id="rId14">
        <w:r w:rsidRPr="00BE201A">
          <w:rPr>
            <w:rStyle w:val="CharAttribute24"/>
            <w:rFonts w:asciiTheme="minorHAnsi" w:eastAsiaTheme="minorHAnsi" w:hAnsiTheme="minorHAnsi" w:cstheme="majorBidi"/>
            <w:sz w:val="18"/>
            <w:szCs w:val="18"/>
          </w:rPr>
          <w:t>View at Publisher</w:t>
        </w:r>
      </w:hyperlink>
      <w:r w:rsidRPr="00BE201A">
        <w:rPr>
          <w:rStyle w:val="CharAttribute25"/>
          <w:rFonts w:asciiTheme="minorHAnsi" w:eastAsiaTheme="minorHAnsi" w:hAnsiTheme="minorHAnsi" w:cstheme="majorBidi"/>
          <w:sz w:val="18"/>
          <w:szCs w:val="18"/>
        </w:rPr>
        <w:t xml:space="preserve"> · </w:t>
      </w:r>
      <w:hyperlink r:id="rId15">
        <w:r w:rsidRPr="00BE201A">
          <w:rPr>
            <w:rStyle w:val="CharAttribute24"/>
            <w:rFonts w:asciiTheme="minorHAnsi" w:eastAsiaTheme="minorHAnsi" w:hAnsiTheme="minorHAnsi" w:cstheme="majorBidi"/>
            <w:sz w:val="18"/>
            <w:szCs w:val="18"/>
          </w:rPr>
          <w:t>View at Google Scholar</w:t>
        </w:r>
      </w:hyperlink>
      <w:r w:rsidRPr="00BE201A">
        <w:rPr>
          <w:rStyle w:val="CharAttribute25"/>
          <w:rFonts w:asciiTheme="minorHAnsi" w:eastAsiaTheme="minorHAnsi" w:hAnsiTheme="minorHAnsi" w:cstheme="majorBidi"/>
          <w:sz w:val="18"/>
          <w:szCs w:val="18"/>
        </w:rPr>
        <w:t xml:space="preserve"> </w:t>
      </w:r>
      <w:hyperlink r:id="rId16">
        <w:r w:rsidRPr="00BE201A">
          <w:rPr>
            <w:rStyle w:val="CharAttribute24"/>
            <w:rFonts w:asciiTheme="minorHAnsi" w:eastAsiaTheme="minorHAnsi" w:hAnsiTheme="minorHAnsi" w:cstheme="majorBidi"/>
            <w:sz w:val="18"/>
            <w:szCs w:val="18"/>
          </w:rPr>
          <w:t>View at Scopus</w:t>
        </w:r>
      </w:hyperlink>
    </w:p>
    <w:p w:rsidR="005973B9" w:rsidRPr="00BE201A" w:rsidRDefault="00BE201A" w:rsidP="00BE201A">
      <w:pPr>
        <w:pStyle w:val="ListParagraph"/>
        <w:numPr>
          <w:ilvl w:val="0"/>
          <w:numId w:val="3"/>
        </w:numPr>
        <w:wordWrap w:val="0"/>
        <w:autoSpaceDE w:val="0"/>
        <w:autoSpaceDN w:val="0"/>
        <w:spacing w:before="0" w:line="360" w:lineRule="auto"/>
        <w:rPr>
          <w:rFonts w:asciiTheme="minorHAnsi" w:eastAsia="Times New Roman" w:hAnsiTheme="minorHAnsi" w:cstheme="majorBidi"/>
          <w:sz w:val="18"/>
          <w:szCs w:val="18"/>
        </w:rPr>
      </w:pPr>
      <w:r w:rsidRPr="00BE201A">
        <w:rPr>
          <w:rStyle w:val="CharAttribute19"/>
          <w:rFonts w:asciiTheme="minorHAnsi" w:eastAsiaTheme="minorHAnsi" w:hAnsiTheme="minorHAnsi" w:cstheme="majorBidi"/>
          <w:sz w:val="18"/>
          <w:szCs w:val="18"/>
        </w:rPr>
        <w:t xml:space="preserve">Ali B. H., “Gentamicin nephrotoxicity in humans and animals: some recent research,”    </w:t>
      </w:r>
      <w:r w:rsidRPr="00BE201A">
        <w:rPr>
          <w:rStyle w:val="CharAttribute20"/>
          <w:rFonts w:asciiTheme="minorHAnsi" w:eastAsiaTheme="minorHAnsi" w:hAnsiTheme="minorHAnsi" w:cstheme="majorBidi"/>
          <w:sz w:val="18"/>
          <w:szCs w:val="18"/>
        </w:rPr>
        <w:t>General Pharmacology</w:t>
      </w:r>
      <w:r w:rsidRPr="00BE201A">
        <w:rPr>
          <w:rStyle w:val="CharAttribute19"/>
          <w:rFonts w:asciiTheme="minorHAnsi" w:eastAsiaTheme="minorHAnsi" w:hAnsiTheme="minorHAnsi" w:cstheme="majorBidi"/>
          <w:sz w:val="18"/>
          <w:szCs w:val="18"/>
        </w:rPr>
        <w:t xml:space="preserve">, vol. 26, no. 7, pp. 1477–1487, 1995. </w:t>
      </w:r>
      <w:hyperlink r:id="rId17">
        <w:r w:rsidRPr="00BE201A">
          <w:rPr>
            <w:rStyle w:val="CharAttribute24"/>
            <w:rFonts w:asciiTheme="minorHAnsi" w:eastAsiaTheme="minorHAnsi" w:hAnsiTheme="minorHAnsi" w:cstheme="majorBidi"/>
            <w:sz w:val="18"/>
            <w:szCs w:val="18"/>
          </w:rPr>
          <w:t>View at Publisher</w:t>
        </w:r>
      </w:hyperlink>
      <w:r w:rsidRPr="00BE201A">
        <w:rPr>
          <w:rStyle w:val="CharAttribute25"/>
          <w:rFonts w:asciiTheme="minorHAnsi" w:eastAsiaTheme="minorHAnsi" w:hAnsiTheme="minorHAnsi" w:cstheme="majorBidi"/>
          <w:sz w:val="18"/>
          <w:szCs w:val="18"/>
        </w:rPr>
        <w:t xml:space="preserve"> · </w:t>
      </w:r>
      <w:hyperlink r:id="rId18">
        <w:r w:rsidRPr="00BE201A">
          <w:rPr>
            <w:rStyle w:val="CharAttribute24"/>
            <w:rFonts w:asciiTheme="minorHAnsi" w:eastAsiaTheme="minorHAnsi" w:hAnsiTheme="minorHAnsi" w:cstheme="majorBidi"/>
            <w:sz w:val="18"/>
            <w:szCs w:val="18"/>
          </w:rPr>
          <w:t>View at    Google Scholar</w:t>
        </w:r>
      </w:hyperlink>
      <w:r w:rsidRPr="00BE201A">
        <w:rPr>
          <w:rStyle w:val="CharAttribute25"/>
          <w:rFonts w:asciiTheme="minorHAnsi" w:eastAsiaTheme="minorHAnsi" w:hAnsiTheme="minorHAnsi" w:cstheme="majorBidi"/>
          <w:sz w:val="18"/>
          <w:szCs w:val="18"/>
        </w:rPr>
        <w:t xml:space="preserve"> · </w:t>
      </w:r>
      <w:hyperlink r:id="rId19">
        <w:r w:rsidRPr="00BE201A">
          <w:rPr>
            <w:rStyle w:val="CharAttribute24"/>
            <w:rFonts w:asciiTheme="minorHAnsi" w:eastAsiaTheme="minorHAnsi" w:hAnsiTheme="minorHAnsi" w:cstheme="majorBidi"/>
            <w:sz w:val="18"/>
            <w:szCs w:val="18"/>
          </w:rPr>
          <w:t xml:space="preserve">View at </w:t>
        </w:r>
        <w:r>
          <w:rPr>
            <w:rStyle w:val="CharAttribute24"/>
            <w:rFonts w:asciiTheme="minorHAnsi" w:eastAsiaTheme="minorHAnsi" w:hAnsiTheme="minorHAnsi" w:cstheme="majorBidi"/>
            <w:sz w:val="18"/>
            <w:szCs w:val="18"/>
          </w:rPr>
          <w:t xml:space="preserve">  </w:t>
        </w:r>
        <w:r w:rsidRPr="00BE201A">
          <w:rPr>
            <w:rStyle w:val="CharAttribute24"/>
            <w:rFonts w:asciiTheme="minorHAnsi" w:eastAsiaTheme="minorHAnsi" w:hAnsiTheme="minorHAnsi" w:cstheme="majorBidi"/>
            <w:sz w:val="18"/>
            <w:szCs w:val="18"/>
          </w:rPr>
          <w:t>Scop</w:t>
        </w:r>
        <w:r>
          <w:rPr>
            <w:rStyle w:val="CharAttribute24"/>
            <w:rFonts w:asciiTheme="minorHAnsi" w:eastAsiaTheme="minorHAnsi" w:hAnsiTheme="minorHAnsi" w:cstheme="majorBidi"/>
            <w:sz w:val="18"/>
            <w:szCs w:val="18"/>
          </w:rPr>
          <w:t>u</w:t>
        </w:r>
        <w:r w:rsidRPr="00BE201A">
          <w:rPr>
            <w:rStyle w:val="CharAttribute24"/>
            <w:rFonts w:asciiTheme="minorHAnsi" w:eastAsiaTheme="minorHAnsi" w:hAnsiTheme="minorHAnsi" w:cstheme="majorBidi"/>
            <w:sz w:val="18"/>
            <w:szCs w:val="18"/>
          </w:rPr>
          <w:t>s</w:t>
        </w:r>
      </w:hyperlink>
      <w:r>
        <w:rPr>
          <w:rStyle w:val="CharAttribute24"/>
          <w:rFonts w:asciiTheme="minorHAnsi" w:eastAsiaTheme="minorHAnsi" w:hAnsiTheme="minorHAnsi" w:cstheme="majorBidi"/>
          <w:sz w:val="18"/>
          <w:szCs w:val="18"/>
        </w:rPr>
        <w:t>.</w:t>
      </w:r>
    </w:p>
    <w:p w:rsidR="00BC7E5B" w:rsidRPr="00BC7E5B" w:rsidRDefault="005973B9" w:rsidP="00BC7E5B">
      <w:pPr>
        <w:pStyle w:val="ParaAttribute0"/>
        <w:numPr>
          <w:ilvl w:val="0"/>
          <w:numId w:val="3"/>
        </w:numPr>
        <w:wordWrap w:val="0"/>
        <w:spacing w:line="360" w:lineRule="auto"/>
        <w:jc w:val="both"/>
        <w:rPr>
          <w:rFonts w:asciiTheme="minorHAnsi" w:hAnsiTheme="minorHAnsi" w:cstheme="majorBidi"/>
          <w:sz w:val="18"/>
          <w:szCs w:val="18"/>
        </w:rPr>
      </w:pPr>
      <w:r>
        <w:rPr>
          <w:rFonts w:ascii="Calibri" w:hAnsi="Calibri"/>
        </w:rPr>
        <w:t xml:space="preserve"> </w:t>
      </w:r>
      <w:r w:rsidR="00BC7E5B" w:rsidRPr="00BC7E5B">
        <w:rPr>
          <w:rStyle w:val="CharAttribute1"/>
          <w:rFonts w:asciiTheme="minorHAnsi" w:eastAsia="Batang" w:hAnsiTheme="minorHAnsi" w:cstheme="majorBidi"/>
          <w:sz w:val="18"/>
          <w:szCs w:val="18"/>
        </w:rPr>
        <w:t xml:space="preserve">Emedicine.medscape.com. (2017). </w:t>
      </w:r>
      <w:r w:rsidR="00BC7E5B" w:rsidRPr="00BC7E5B">
        <w:rPr>
          <w:rStyle w:val="CharAttribute2"/>
          <w:rFonts w:asciiTheme="minorHAnsi" w:eastAsia="Batang" w:hAnsiTheme="minorHAnsi" w:cstheme="majorBidi"/>
          <w:sz w:val="18"/>
          <w:szCs w:val="18"/>
        </w:rPr>
        <w:t>A</w:t>
      </w:r>
      <w:r w:rsidR="00BC7E5B">
        <w:rPr>
          <w:rStyle w:val="CharAttribute2"/>
          <w:rFonts w:asciiTheme="minorHAnsi" w:eastAsia="Batang" w:hAnsiTheme="minorHAnsi" w:cstheme="majorBidi"/>
          <w:sz w:val="18"/>
          <w:szCs w:val="18"/>
        </w:rPr>
        <w:t>cute Kidney Injury Treatment &amp; M</w:t>
      </w:r>
      <w:r w:rsidR="00BC7E5B" w:rsidRPr="00BC7E5B">
        <w:rPr>
          <w:rStyle w:val="CharAttribute2"/>
          <w:rFonts w:asciiTheme="minorHAnsi" w:eastAsia="Batang" w:hAnsiTheme="minorHAnsi" w:cstheme="majorBidi"/>
          <w:sz w:val="18"/>
          <w:szCs w:val="18"/>
        </w:rPr>
        <w:t>anagement: Approach Considerations, Vasodilators, Dietary Modification</w:t>
      </w:r>
      <w:r w:rsidR="00BC7E5B" w:rsidRPr="00BC7E5B">
        <w:rPr>
          <w:rStyle w:val="CharAttribute1"/>
          <w:rFonts w:asciiTheme="minorHAnsi" w:eastAsia="Batang" w:hAnsiTheme="minorHAnsi" w:cstheme="majorBidi"/>
          <w:sz w:val="18"/>
          <w:szCs w:val="18"/>
        </w:rPr>
        <w:t>. [</w:t>
      </w:r>
      <w:r w:rsidR="00BC7E5B" w:rsidRPr="00BC7E5B">
        <w:rPr>
          <w:rStyle w:val="CharAttribute1"/>
          <w:rFonts w:asciiTheme="minorHAnsi" w:eastAsia="Batang" w:hAnsiTheme="minorHAnsi" w:cstheme="majorBidi"/>
          <w:sz w:val="18"/>
          <w:szCs w:val="18"/>
        </w:rPr>
        <w:t>Online</w:t>
      </w:r>
      <w:r w:rsidR="00BC7E5B" w:rsidRPr="00BC7E5B">
        <w:rPr>
          <w:rStyle w:val="CharAttribute1"/>
          <w:rFonts w:asciiTheme="minorHAnsi" w:eastAsia="Batang" w:hAnsiTheme="minorHAnsi" w:cstheme="majorBidi"/>
          <w:sz w:val="18"/>
          <w:szCs w:val="18"/>
        </w:rPr>
        <w:t xml:space="preserve">] </w:t>
      </w:r>
    </w:p>
    <w:p w:rsidR="005973B9" w:rsidRPr="00BC7E5B" w:rsidRDefault="005973B9" w:rsidP="00BC7E5B">
      <w:pPr>
        <w:pStyle w:val="BodyText"/>
        <w:spacing w:before="85" w:line="216" w:lineRule="exact"/>
        <w:ind w:left="383" w:right="138" w:hanging="284"/>
        <w:jc w:val="both"/>
        <w:rPr>
          <w:rFonts w:asciiTheme="minorHAnsi" w:hAnsiTheme="minorHAns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DD5E54">
      <w:pPr>
        <w:spacing w:before="92"/>
        <w:ind w:right="4234"/>
        <w:rPr>
          <w:rFonts w:ascii="Arial"/>
        </w:rPr>
      </w:pPr>
      <w:r>
        <w:rPr>
          <w:noProof/>
        </w:rPr>
        <w:lastRenderedPageBreak/>
        <w:t xml:space="preserve"> </w:t>
      </w:r>
      <w:r w:rsidR="005677C6">
        <w:rPr>
          <w:noProof/>
        </w:rPr>
        <w:t xml:space="preserve"> </w:t>
      </w:r>
      <w:r>
        <w:rPr>
          <w:noProof/>
        </w:rPr>
        <w:t xml:space="preserve"> </w:t>
      </w:r>
      <w:r w:rsidR="005677C6">
        <w:rPr>
          <w:noProof/>
        </w:rPr>
        <w:drawing>
          <wp:inline distT="0" distB="0" distL="0" distR="0">
            <wp:extent cx="1272845" cy="1046070"/>
            <wp:effectExtent l="0" t="0" r="3810" b="1905"/>
            <wp:docPr id="4" name="Picture 4" descr="C:\Users\howayda\AppData\Local\Microsoft\Windows\Temporary Internet Files\Content.Word\IMG-20180117-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wayda\AppData\Local\Microsoft\Windows\Temporary Internet Files\Content.Word\IMG-20180117-WA000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2846" cy="1046071"/>
                    </a:xfrm>
                    <a:prstGeom prst="rect">
                      <a:avLst/>
                    </a:prstGeom>
                    <a:noFill/>
                    <a:ln>
                      <a:noFill/>
                    </a:ln>
                  </pic:spPr>
                </pic:pic>
              </a:graphicData>
            </a:graphic>
          </wp:inline>
        </w:drawing>
      </w:r>
      <w:r w:rsidR="005677C6">
        <w:rPr>
          <w:noProof/>
        </w:rPr>
        <w:t xml:space="preserve"> </w:t>
      </w:r>
      <w:r w:rsidR="00A9710C">
        <w:rPr>
          <w:rFonts w:ascii="Arial"/>
          <w:color w:val="BF5A14"/>
        </w:rPr>
        <w:t>Biography</w:t>
      </w:r>
      <w:r w:rsidR="00404E5B">
        <w:rPr>
          <w:rFonts w:ascii="Arial"/>
          <w:color w:val="BF5A14"/>
        </w:rPr>
        <w:t xml:space="preserve"> </w:t>
      </w:r>
    </w:p>
    <w:p w:rsidR="00AE3E37" w:rsidRDefault="00915827" w:rsidP="002B3B0E">
      <w:pPr>
        <w:spacing w:before="41" w:line="154" w:lineRule="exact"/>
        <w:ind w:left="213" w:right="231"/>
        <w:jc w:val="both"/>
        <w:rPr>
          <w:rFonts w:ascii="Arial"/>
          <w:sz w:val="14"/>
        </w:rPr>
      </w:pPr>
      <w:proofErr w:type="spellStart"/>
      <w:r>
        <w:rPr>
          <w:rFonts w:ascii="Arial"/>
          <w:sz w:val="14"/>
        </w:rPr>
        <w:t>Howyda</w:t>
      </w:r>
      <w:proofErr w:type="spellEnd"/>
      <w:r>
        <w:rPr>
          <w:rFonts w:ascii="Arial"/>
          <w:sz w:val="14"/>
        </w:rPr>
        <w:t xml:space="preserve"> </w:t>
      </w:r>
      <w:proofErr w:type="spellStart"/>
      <w:r>
        <w:rPr>
          <w:rFonts w:ascii="Arial"/>
          <w:sz w:val="14"/>
        </w:rPr>
        <w:t>Hashim</w:t>
      </w:r>
      <w:proofErr w:type="spellEnd"/>
      <w:r>
        <w:rPr>
          <w:rFonts w:ascii="Arial"/>
          <w:sz w:val="14"/>
        </w:rPr>
        <w:t xml:space="preserve"> a recent a </w:t>
      </w:r>
      <w:r w:rsidR="002B3B0E">
        <w:rPr>
          <w:rFonts w:ascii="Arial"/>
          <w:sz w:val="14"/>
        </w:rPr>
        <w:t xml:space="preserve">graduate of </w:t>
      </w:r>
      <w:r>
        <w:rPr>
          <w:rFonts w:ascii="Arial"/>
          <w:sz w:val="14"/>
        </w:rPr>
        <w:t>pharmacy</w:t>
      </w:r>
      <w:r w:rsidR="00DD5E54">
        <w:rPr>
          <w:rFonts w:ascii="Arial"/>
          <w:sz w:val="14"/>
        </w:rPr>
        <w:t xml:space="preserve"> school</w:t>
      </w:r>
      <w:r>
        <w:rPr>
          <w:rFonts w:ascii="Arial"/>
          <w:sz w:val="14"/>
        </w:rPr>
        <w:t xml:space="preserve"> with a first class honors degree and </w:t>
      </w:r>
      <w:proofErr w:type="spellStart"/>
      <w:r>
        <w:rPr>
          <w:rFonts w:ascii="Arial"/>
          <w:sz w:val="14"/>
        </w:rPr>
        <w:t>cGPA</w:t>
      </w:r>
      <w:proofErr w:type="spellEnd"/>
      <w:r>
        <w:rPr>
          <w:rFonts w:ascii="Arial"/>
          <w:sz w:val="14"/>
        </w:rPr>
        <w:t xml:space="preserve"> of 4.88, has always been an intelligent and motivated student, hardworking and discipline in addition to knowledge led her to </w:t>
      </w:r>
      <w:r w:rsidR="002B3B0E">
        <w:rPr>
          <w:rFonts w:ascii="Arial"/>
          <w:sz w:val="14"/>
        </w:rPr>
        <w:t>be one of the most recognizable students</w:t>
      </w:r>
      <w:r>
        <w:rPr>
          <w:rFonts w:ascii="Arial"/>
          <w:sz w:val="14"/>
        </w:rPr>
        <w:t xml:space="preserve"> </w:t>
      </w:r>
      <w:r w:rsidR="002B3B0E">
        <w:rPr>
          <w:rFonts w:ascii="Arial"/>
          <w:sz w:val="14"/>
        </w:rPr>
        <w:t xml:space="preserve">among her colleagues. She believes that excellence and success are only achievable through diligence and participation in interactive learning. </w:t>
      </w:r>
      <w:r w:rsidR="00DD5E54">
        <w:rPr>
          <w:rFonts w:ascii="Arial"/>
          <w:sz w:val="14"/>
        </w:rPr>
        <w:t>Respectfulness, Passion and kindness are part of her great character.</w:t>
      </w:r>
    </w:p>
    <w:p w:rsidR="00AE3E37" w:rsidRPr="00E447E3" w:rsidRDefault="00E447E3" w:rsidP="00E447E3">
      <w:pPr>
        <w:spacing w:before="62"/>
        <w:ind w:right="4235"/>
        <w:rPr>
          <w:rFonts w:asciiTheme="minorBidi" w:hAnsiTheme="minorBidi" w:cstheme="minorBidi"/>
          <w:sz w:val="16"/>
          <w:szCs w:val="16"/>
        </w:rPr>
      </w:pPr>
      <w:r>
        <w:rPr>
          <w:rFonts w:ascii="Arial"/>
          <w:sz w:val="14"/>
        </w:rPr>
        <w:t xml:space="preserve">                                                                                                Email: </w:t>
      </w:r>
      <w:r>
        <w:rPr>
          <w:rFonts w:asciiTheme="minorBidi" w:hAnsiTheme="minorBidi" w:cstheme="minorBidi"/>
          <w:sz w:val="16"/>
          <w:szCs w:val="16"/>
        </w:rPr>
        <w:t>howydahashim96@gmail.com</w:t>
      </w:r>
    </w:p>
    <w:p w:rsidR="00AE3E37" w:rsidRDefault="00292ED9" w:rsidP="00E447E3">
      <w:pPr>
        <w:pStyle w:val="BodyText"/>
        <w:tabs>
          <w:tab w:val="center" w:pos="5345"/>
        </w:tabs>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E447E3">
        <w:rPr>
          <w:rFonts w:ascii="Arial"/>
          <w:sz w:val="19"/>
        </w:rPr>
        <w:tab/>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5677C6" w:rsidRDefault="00A9710C" w:rsidP="005677C6">
      <w:pPr>
        <w:spacing w:before="39"/>
        <w:ind w:left="100"/>
        <w:rPr>
          <w:rFonts w:ascii="Minion Pro"/>
          <w:b/>
          <w:sz w:val="20"/>
        </w:rPr>
        <w:sectPr w:rsidR="00AE3E37" w:rsidRPr="005677C6">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A44" w:rsidRDefault="00457A44">
      <w:r>
        <w:separator/>
      </w:r>
    </w:p>
  </w:endnote>
  <w:endnote w:type="continuationSeparator" w:id="0">
    <w:p w:rsidR="00457A44" w:rsidRDefault="00457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mp;quot">
    <w:altName w:val="Calibri"/>
    <w:charset w:val="00"/>
    <w:family w:val="auto"/>
    <w:pitch w:val="variable"/>
    <w:sig w:usb0="00000001" w:usb1="4000207B" w:usb2="00000000" w:usb3="00000000" w:csb0="0000009F" w:csb1="00000000"/>
  </w:font>
  <w:font w:name="inherit">
    <w:altName w:val="Calibri"/>
    <w:charset w:val="00"/>
    <w:family w:val="auto"/>
    <w:pitch w:val="variable"/>
    <w:sig w:usb0="00000001" w:usb1="4000207B"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A44" w:rsidRDefault="00457A44">
      <w:r>
        <w:separator/>
      </w:r>
    </w:p>
  </w:footnote>
  <w:footnote w:type="continuationSeparator" w:id="0">
    <w:p w:rsidR="00457A44" w:rsidRDefault="00457A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A6D7C8B"/>
    <w:multiLevelType w:val="hybridMultilevel"/>
    <w:tmpl w:val="785489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1A67"/>
    <w:rsid w:val="000E2911"/>
    <w:rsid w:val="001263DF"/>
    <w:rsid w:val="00292ED9"/>
    <w:rsid w:val="002B3B0E"/>
    <w:rsid w:val="00404E5B"/>
    <w:rsid w:val="004067DE"/>
    <w:rsid w:val="00414F7B"/>
    <w:rsid w:val="004355DC"/>
    <w:rsid w:val="00457A44"/>
    <w:rsid w:val="004749B4"/>
    <w:rsid w:val="00494130"/>
    <w:rsid w:val="004F3523"/>
    <w:rsid w:val="005677C6"/>
    <w:rsid w:val="005973B9"/>
    <w:rsid w:val="005B3A56"/>
    <w:rsid w:val="006060CE"/>
    <w:rsid w:val="0063497F"/>
    <w:rsid w:val="006D7A4C"/>
    <w:rsid w:val="00873DF0"/>
    <w:rsid w:val="008756E6"/>
    <w:rsid w:val="00915827"/>
    <w:rsid w:val="009B2D44"/>
    <w:rsid w:val="00A07E82"/>
    <w:rsid w:val="00A9710C"/>
    <w:rsid w:val="00AE3E37"/>
    <w:rsid w:val="00B153BB"/>
    <w:rsid w:val="00B21A57"/>
    <w:rsid w:val="00B770FA"/>
    <w:rsid w:val="00BC7E5B"/>
    <w:rsid w:val="00BE201A"/>
    <w:rsid w:val="00C33602"/>
    <w:rsid w:val="00CD6F55"/>
    <w:rsid w:val="00D87C9F"/>
    <w:rsid w:val="00DD5E54"/>
    <w:rsid w:val="00DE3104"/>
    <w:rsid w:val="00E447E3"/>
    <w:rsid w:val="00F44E6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Attribute0">
    <w:name w:val="ParaAttribute0"/>
    <w:rsid w:val="00B153BB"/>
    <w:pPr>
      <w:spacing w:line="490" w:lineRule="exact"/>
    </w:pPr>
    <w:rPr>
      <w:rFonts w:ascii="Times New Roman" w:eastAsia="Batang" w:hAnsi="Times New Roman" w:cs="Times New Roman"/>
      <w:sz w:val="20"/>
      <w:szCs w:val="20"/>
    </w:rPr>
  </w:style>
  <w:style w:type="character" w:customStyle="1" w:styleId="CharAttribute7">
    <w:name w:val="CharAttribute7"/>
    <w:rsid w:val="00B153BB"/>
    <w:rPr>
      <w:rFonts w:ascii="Arial" w:eastAsia="Times New Roman"/>
      <w:sz w:val="24"/>
      <w:shd w:val="clear" w:color="auto" w:fill="FFFFFF"/>
    </w:rPr>
  </w:style>
  <w:style w:type="character" w:customStyle="1" w:styleId="CharAttribute8">
    <w:name w:val="CharAttribute8"/>
    <w:rsid w:val="00B153BB"/>
    <w:rPr>
      <w:rFonts w:ascii="Arial" w:eastAsia="Times New Roman"/>
      <w:sz w:val="24"/>
      <w:shd w:val="clear" w:color="auto" w:fill="FFFFFF"/>
    </w:rPr>
  </w:style>
  <w:style w:type="character" w:customStyle="1" w:styleId="CharAttribute11">
    <w:name w:val="CharAttribute11"/>
    <w:rsid w:val="00B153BB"/>
    <w:rPr>
      <w:rFonts w:ascii="&amp;quot" w:eastAsia="Times New Roman"/>
      <w:sz w:val="24"/>
      <w:shd w:val="clear" w:color="auto" w:fill="FFFFFF"/>
    </w:rPr>
  </w:style>
  <w:style w:type="paragraph" w:customStyle="1" w:styleId="ParaAttribute5">
    <w:name w:val="ParaAttribute5"/>
    <w:rsid w:val="00B153BB"/>
    <w:pPr>
      <w:ind w:hanging="120"/>
    </w:pPr>
    <w:rPr>
      <w:rFonts w:ascii="Times New Roman" w:eastAsia="Batang" w:hAnsi="Times New Roman" w:cs="Times New Roman"/>
      <w:sz w:val="20"/>
      <w:szCs w:val="20"/>
    </w:rPr>
  </w:style>
  <w:style w:type="character" w:customStyle="1" w:styleId="CharAttribute19">
    <w:name w:val="CharAttribute19"/>
    <w:rsid w:val="00BE201A"/>
    <w:rPr>
      <w:rFonts w:ascii="inherit" w:eastAsia="Times New Roman"/>
      <w:sz w:val="25"/>
      <w:shd w:val="clear" w:color="auto" w:fill="FFFFFF"/>
    </w:rPr>
  </w:style>
  <w:style w:type="character" w:customStyle="1" w:styleId="CharAttribute20">
    <w:name w:val="CharAttribute20"/>
    <w:rsid w:val="00BE201A"/>
    <w:rPr>
      <w:rFonts w:ascii="inherit" w:eastAsia="Times New Roman"/>
      <w:i/>
      <w:sz w:val="25"/>
      <w:shd w:val="clear" w:color="auto" w:fill="FFFFFF"/>
    </w:rPr>
  </w:style>
  <w:style w:type="character" w:customStyle="1" w:styleId="CharAttribute24">
    <w:name w:val="CharAttribute24"/>
    <w:rsid w:val="00BE201A"/>
    <w:rPr>
      <w:rFonts w:ascii="inherit" w:eastAsia="Times New Roman"/>
      <w:sz w:val="25"/>
      <w:shd w:val="clear" w:color="auto" w:fill="FFFFFF"/>
    </w:rPr>
  </w:style>
  <w:style w:type="character" w:customStyle="1" w:styleId="CharAttribute25">
    <w:name w:val="CharAttribute25"/>
    <w:rsid w:val="00BE201A"/>
    <w:rPr>
      <w:rFonts w:ascii="&amp;quot" w:eastAsia="Times New Roman"/>
      <w:sz w:val="25"/>
      <w:shd w:val="clear" w:color="auto" w:fill="FFFFFF"/>
    </w:rPr>
  </w:style>
  <w:style w:type="character" w:customStyle="1" w:styleId="CharAttribute1">
    <w:name w:val="CharAttribute1"/>
    <w:rsid w:val="00BC7E5B"/>
    <w:rPr>
      <w:rFonts w:ascii="&amp;quot" w:eastAsia="Times New Roman"/>
      <w:sz w:val="19"/>
      <w:shd w:val="clear" w:color="auto" w:fill="FFFFFF"/>
    </w:rPr>
  </w:style>
  <w:style w:type="character" w:customStyle="1" w:styleId="CharAttribute2">
    <w:name w:val="CharAttribute2"/>
    <w:rsid w:val="00BC7E5B"/>
    <w:rPr>
      <w:rFonts w:ascii="Times New Roman" w:eastAsia="Times New Roman"/>
      <w:i/>
      <w:sz w:val="24"/>
    </w:rPr>
  </w:style>
  <w:style w:type="paragraph" w:customStyle="1" w:styleId="ParaAttribute4">
    <w:name w:val="ParaAttribute4"/>
    <w:rsid w:val="00915827"/>
    <w:pPr>
      <w:spacing w:after="105" w:line="490" w:lineRule="exact"/>
    </w:pPr>
    <w:rPr>
      <w:rFonts w:ascii="Times New Roman" w:eastAsia="Batang" w:hAnsi="Times New Roman" w:cs="Times New Roman"/>
      <w:sz w:val="20"/>
      <w:szCs w:val="20"/>
    </w:rPr>
  </w:style>
  <w:style w:type="character" w:customStyle="1" w:styleId="CharAttribute22">
    <w:name w:val="CharAttribute22"/>
    <w:rsid w:val="00915827"/>
    <w:rPr>
      <w:rFonts w:ascii="Arial" w:eastAsia="Times New Roman"/>
      <w:i/>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Attribute0">
    <w:name w:val="ParaAttribute0"/>
    <w:rsid w:val="00B153BB"/>
    <w:pPr>
      <w:spacing w:line="490" w:lineRule="exact"/>
    </w:pPr>
    <w:rPr>
      <w:rFonts w:ascii="Times New Roman" w:eastAsia="Batang" w:hAnsi="Times New Roman" w:cs="Times New Roman"/>
      <w:sz w:val="20"/>
      <w:szCs w:val="20"/>
    </w:rPr>
  </w:style>
  <w:style w:type="character" w:customStyle="1" w:styleId="CharAttribute7">
    <w:name w:val="CharAttribute7"/>
    <w:rsid w:val="00B153BB"/>
    <w:rPr>
      <w:rFonts w:ascii="Arial" w:eastAsia="Times New Roman"/>
      <w:sz w:val="24"/>
      <w:shd w:val="clear" w:color="auto" w:fill="FFFFFF"/>
    </w:rPr>
  </w:style>
  <w:style w:type="character" w:customStyle="1" w:styleId="CharAttribute8">
    <w:name w:val="CharAttribute8"/>
    <w:rsid w:val="00B153BB"/>
    <w:rPr>
      <w:rFonts w:ascii="Arial" w:eastAsia="Times New Roman"/>
      <w:sz w:val="24"/>
      <w:shd w:val="clear" w:color="auto" w:fill="FFFFFF"/>
    </w:rPr>
  </w:style>
  <w:style w:type="character" w:customStyle="1" w:styleId="CharAttribute11">
    <w:name w:val="CharAttribute11"/>
    <w:rsid w:val="00B153BB"/>
    <w:rPr>
      <w:rFonts w:ascii="&amp;quot" w:eastAsia="Times New Roman"/>
      <w:sz w:val="24"/>
      <w:shd w:val="clear" w:color="auto" w:fill="FFFFFF"/>
    </w:rPr>
  </w:style>
  <w:style w:type="paragraph" w:customStyle="1" w:styleId="ParaAttribute5">
    <w:name w:val="ParaAttribute5"/>
    <w:rsid w:val="00B153BB"/>
    <w:pPr>
      <w:ind w:hanging="120"/>
    </w:pPr>
    <w:rPr>
      <w:rFonts w:ascii="Times New Roman" w:eastAsia="Batang" w:hAnsi="Times New Roman" w:cs="Times New Roman"/>
      <w:sz w:val="20"/>
      <w:szCs w:val="20"/>
    </w:rPr>
  </w:style>
  <w:style w:type="character" w:customStyle="1" w:styleId="CharAttribute19">
    <w:name w:val="CharAttribute19"/>
    <w:rsid w:val="00BE201A"/>
    <w:rPr>
      <w:rFonts w:ascii="inherit" w:eastAsia="Times New Roman"/>
      <w:sz w:val="25"/>
      <w:shd w:val="clear" w:color="auto" w:fill="FFFFFF"/>
    </w:rPr>
  </w:style>
  <w:style w:type="character" w:customStyle="1" w:styleId="CharAttribute20">
    <w:name w:val="CharAttribute20"/>
    <w:rsid w:val="00BE201A"/>
    <w:rPr>
      <w:rFonts w:ascii="inherit" w:eastAsia="Times New Roman"/>
      <w:i/>
      <w:sz w:val="25"/>
      <w:shd w:val="clear" w:color="auto" w:fill="FFFFFF"/>
    </w:rPr>
  </w:style>
  <w:style w:type="character" w:customStyle="1" w:styleId="CharAttribute24">
    <w:name w:val="CharAttribute24"/>
    <w:rsid w:val="00BE201A"/>
    <w:rPr>
      <w:rFonts w:ascii="inherit" w:eastAsia="Times New Roman"/>
      <w:sz w:val="25"/>
      <w:shd w:val="clear" w:color="auto" w:fill="FFFFFF"/>
    </w:rPr>
  </w:style>
  <w:style w:type="character" w:customStyle="1" w:styleId="CharAttribute25">
    <w:name w:val="CharAttribute25"/>
    <w:rsid w:val="00BE201A"/>
    <w:rPr>
      <w:rFonts w:ascii="&amp;quot" w:eastAsia="Times New Roman"/>
      <w:sz w:val="25"/>
      <w:shd w:val="clear" w:color="auto" w:fill="FFFFFF"/>
    </w:rPr>
  </w:style>
  <w:style w:type="character" w:customStyle="1" w:styleId="CharAttribute1">
    <w:name w:val="CharAttribute1"/>
    <w:rsid w:val="00BC7E5B"/>
    <w:rPr>
      <w:rFonts w:ascii="&amp;quot" w:eastAsia="Times New Roman"/>
      <w:sz w:val="19"/>
      <w:shd w:val="clear" w:color="auto" w:fill="FFFFFF"/>
    </w:rPr>
  </w:style>
  <w:style w:type="character" w:customStyle="1" w:styleId="CharAttribute2">
    <w:name w:val="CharAttribute2"/>
    <w:rsid w:val="00BC7E5B"/>
    <w:rPr>
      <w:rFonts w:ascii="Times New Roman" w:eastAsia="Times New Roman"/>
      <w:i/>
      <w:sz w:val="24"/>
    </w:rPr>
  </w:style>
  <w:style w:type="paragraph" w:customStyle="1" w:styleId="ParaAttribute4">
    <w:name w:val="ParaAttribute4"/>
    <w:rsid w:val="00915827"/>
    <w:pPr>
      <w:spacing w:after="105" w:line="490" w:lineRule="exact"/>
    </w:pPr>
    <w:rPr>
      <w:rFonts w:ascii="Times New Roman" w:eastAsia="Batang" w:hAnsi="Times New Roman" w:cs="Times New Roman"/>
      <w:sz w:val="20"/>
      <w:szCs w:val="20"/>
    </w:rPr>
  </w:style>
  <w:style w:type="character" w:customStyle="1" w:styleId="CharAttribute22">
    <w:name w:val="CharAttribute22"/>
    <w:rsid w:val="00915827"/>
    <w:rPr>
      <w:rFonts w:ascii="Arial" w:eastAsia="Times New Roman"/>
      <w: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cbi.nlm.nih.gov/pmc/articles/PMC2742480/" TargetMode="External"/><Relationship Id="rId18" Type="http://schemas.openxmlformats.org/officeDocument/2006/relationships/hyperlink" Target="http://scholar.google.com/scholar_lookup?title=Gentamicin+nephrotoxicity+in+humans+and+animals%3a+some+recent+research&amp;amp;author=B.+H.+Ali&amp;amp;publication_year=1995"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ncbi.nlm.nih.gov/pubmed/16207828" TargetMode="External"/><Relationship Id="rId17" Type="http://schemas.openxmlformats.org/officeDocument/2006/relationships/hyperlink" Target="https://doi.org/10.1016%2f0306-3623(95)00049-6" TargetMode="External"/><Relationship Id="rId2" Type="http://schemas.openxmlformats.org/officeDocument/2006/relationships/styles" Target="styles.xml"/><Relationship Id="rId16" Type="http://schemas.openxmlformats.org/officeDocument/2006/relationships/hyperlink" Target="http://www.scopus.com/scopus/inward/record.url?eid=2-s2.0-59949086782&amp;amp;partnerID=K84CvKBR&amp;amp;rel=3.0.0&amp;amp;md5=ef53c64d4bebf9fa5a4e5bc54c4198dc" TargetMode="External"/><Relationship Id="rId20"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hyperlink" Target="http://scholar.google.com/scholar_lookup?title=Protective+effect+of+quercetin+against+gentamicin-induced+nephrotoxicity+in+rats&amp;amp;author=I.+T.+Abdel-Raheem&amp;amp;author=A.+A.+Abdel-Ghany&amp;amp;author=G.+A.+Mohamed&amp;amp;publication_year=2009" TargetMode="External"/><Relationship Id="rId10" Type="http://schemas.openxmlformats.org/officeDocument/2006/relationships/image" Target="media/image1.jpeg"/><Relationship Id="rId19" Type="http://schemas.openxmlformats.org/officeDocument/2006/relationships/hyperlink" Target="http://www.scopus.com/scopus/inward/record.url?eid=2-s2.0-0029558564&amp;amp;partnerID=K84CvKBR&amp;amp;rel=3.0.0&amp;amp;md5=47d1178961f5fff37de1ece063e71829"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i.org/10.1248%2fbpb.32.61"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926</TotalTime>
  <Pages>2</Pages>
  <Words>777</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DR.Ahmed Saker</cp:lastModifiedBy>
  <cp:revision>6</cp:revision>
  <dcterms:created xsi:type="dcterms:W3CDTF">2016-08-31T10:27:00Z</dcterms:created>
  <dcterms:modified xsi:type="dcterms:W3CDTF">2018-01-17T04:51:00Z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