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73" w:line="198" w:lineRule="exact"/>
        <w:ind w:left="100" w:right="5987"/>
        <w:rPr>
          <w:rFonts w:hint="default" w:ascii="Cambria" w:hAnsi="Cambria" w:cs="Cambria"/>
          <w:b/>
          <w:bCs/>
          <w:color w:val="000000"/>
          <w:sz w:val="24"/>
          <w:szCs w:val="24"/>
          <w:lang w:val="en-PH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PH"/>
        </w:rPr>
        <w:t>Anti-thrombocytopenic and Anti-leukopenic Properties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 xml:space="preserve"> of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PH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Syzygium cumini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PH"/>
        </w:rPr>
        <w:t xml:space="preserve">(L.) Skeels </w:t>
      </w:r>
      <w:r>
        <w:rPr>
          <w:rFonts w:hint="default" w:ascii="Cambria" w:hAnsi="Cambria" w:cs="Cambria"/>
          <w:b/>
          <w:bCs/>
          <w:color w:val="000000"/>
          <w:sz w:val="24"/>
          <w:szCs w:val="24"/>
        </w:rPr>
        <w:t>(</w:t>
      </w:r>
      <w:r>
        <w:rPr>
          <w:rFonts w:hint="default" w:ascii="Cambria" w:hAnsi="Cambria" w:cs="Cambria"/>
          <w:b/>
          <w:bCs/>
          <w:color w:val="000000"/>
          <w:sz w:val="24"/>
          <w:szCs w:val="24"/>
          <w:lang w:val="en-PH"/>
        </w:rPr>
        <w:t>Myrtaceae</w:t>
      </w:r>
      <w:r>
        <w:rPr>
          <w:rFonts w:hint="default" w:ascii="Cambria" w:hAnsi="Cambria" w:cs="Cambria"/>
          <w:b/>
          <w:bCs/>
          <w:color w:val="000000"/>
          <w:sz w:val="24"/>
          <w:szCs w:val="24"/>
        </w:rPr>
        <w:t>)</w:t>
      </w:r>
      <w:r>
        <w:rPr>
          <w:rFonts w:hint="default" w:ascii="Cambria" w:hAnsi="Cambria" w:cs="Cambria"/>
          <w:b/>
          <w:bCs/>
          <w:color w:val="000000"/>
          <w:sz w:val="24"/>
          <w:szCs w:val="24"/>
          <w:lang w:val="en-PH"/>
        </w:rPr>
        <w:t xml:space="preserve"> Leaves in a Murine Model</w:t>
      </w:r>
    </w:p>
    <w:p>
      <w:pPr>
        <w:pStyle w:val="6"/>
        <w:rPr>
          <w:rFonts w:hint="default" w:ascii="Cambria" w:hAnsi="Cambria" w:cs="Cambria"/>
          <w:sz w:val="20"/>
        </w:rPr>
      </w:pPr>
      <w:r>
        <w:rPr>
          <w:rFonts w:hint="default" w:ascii="Cambria" w:hAnsi="Cambria" w:cs="Cambria"/>
          <w:sz w:val="20"/>
        </w:rPr>
        <w:t>Name: Teresa May B. Bandiola</w:t>
      </w:r>
    </w:p>
    <w:p>
      <w:pPr>
        <w:pStyle w:val="6"/>
        <w:rPr>
          <w:rFonts w:hint="default" w:ascii="Cambria" w:hAnsi="Cambria" w:cs="Cambria"/>
          <w:sz w:val="20"/>
        </w:rPr>
      </w:pPr>
      <w:r>
        <w:rPr>
          <w:rFonts w:hint="default" w:ascii="Cambria" w:hAnsi="Cambria" w:cs="Cambria"/>
          <w:sz w:val="20"/>
        </w:rPr>
        <w:t>Affiliation: The Graduate School, University of Santo Tomas, Manila, Philippines</w:t>
      </w:r>
    </w:p>
    <w:p>
      <w:pPr>
        <w:pStyle w:val="6"/>
        <w:rPr>
          <w:rFonts w:hint="default" w:ascii="Cambria" w:hAnsi="Cambria" w:cs="Cambria"/>
          <w:sz w:val="20"/>
        </w:rPr>
      </w:pPr>
      <w:r>
        <w:rPr>
          <w:rFonts w:hint="default" w:ascii="Cambria" w:hAnsi="Cambria" w:cs="Cambria"/>
          <w:sz w:val="20"/>
        </w:rPr>
        <w:t>Co-authors: Dr. Mary Jho-Anne T. Corpuz</w:t>
      </w:r>
    </w:p>
    <w:p>
      <w:pPr>
        <w:pStyle w:val="6"/>
        <w:spacing w:before="3"/>
        <w:rPr>
          <w:rFonts w:hint="default" w:ascii="Cambria" w:hAnsi="Cambria" w:cs="Cambria"/>
          <w:sz w:val="21"/>
        </w:rPr>
      </w:pPr>
    </w:p>
    <w:p>
      <w:pPr>
        <w:rPr>
          <w:rFonts w:hint="default" w:ascii="Cambria" w:hAnsi="Cambria" w:cs="Cambria"/>
          <w:sz w:val="21"/>
        </w:rPr>
        <w:sectPr>
          <w:headerReference r:id="rId3" w:type="default"/>
          <w:footerReference r:id="rId4" w:type="default"/>
          <w:type w:val="continuous"/>
          <w:pgSz w:w="11910" w:h="16840"/>
          <w:pgMar w:top="1740" w:right="600" w:bottom="840" w:left="620" w:header="541" w:footer="642" w:gutter="0"/>
          <w:cols w:space="720" w:num="1"/>
        </w:sectPr>
      </w:pPr>
    </w:p>
    <w:p>
      <w:pPr>
        <w:pStyle w:val="4"/>
        <w:spacing w:before="147"/>
        <w:ind w:left="0" w:leftChars="0" w:firstLine="0" w:firstLineChars="0"/>
        <w:jc w:val="both"/>
        <w:rPr>
          <w:rFonts w:hint="default" w:ascii="Cambria" w:hAnsi="Cambria" w:cs="Cambria"/>
        </w:rPr>
      </w:pPr>
      <w:r>
        <w:rPr>
          <w:rFonts w:hint="default" w:ascii="Cambria" w:hAnsi="Cambria" w:cs="Cambria"/>
          <w:color w:val="BF5A14"/>
        </w:rPr>
        <w:t>Abstract (300 word limit)</w:t>
      </w:r>
    </w:p>
    <w:p>
      <w:pPr>
        <w:ind w:firstLine="720" w:firstLineChars="0"/>
        <w:jc w:val="both"/>
        <w:rPr>
          <w:rFonts w:hint="default" w:ascii="Cambria" w:hAnsi="Cambria" w:cs="Cambria"/>
          <w:color w:val="000000"/>
          <w:sz w:val="24"/>
          <w:szCs w:val="24"/>
          <w:lang w:val="en-PH"/>
        </w:rPr>
      </w:pP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>Dengue has remained to be a national epidemic in the Philippines and has been one of the leading causes of mortality in children. There is no</w:t>
      </w:r>
      <w:r>
        <w:rPr>
          <w:rFonts w:hint="default" w:ascii="Cambria" w:hAnsi="Cambria" w:eastAsia="Helvetica" w:cs="Cambria"/>
          <w:color w:val="000000"/>
          <w:sz w:val="24"/>
          <w:szCs w:val="24"/>
          <w:shd w:val="clear" w:color="auto" w:fill="FFFFFF"/>
          <w:lang w:val="en-PH"/>
        </w:rPr>
        <w:t xml:space="preserve"> quick dengue infection confirmation test, however, a Complete Blood Count might show</w:t>
      </w:r>
      <w:r>
        <w:rPr>
          <w:rFonts w:hint="default" w:ascii="Cambria" w:hAnsi="Cambria" w:eastAsia="Helvetica" w:cs="Cambria"/>
          <w:b w:val="0"/>
          <w:bCs w:val="0"/>
          <w:color w:val="000000"/>
          <w:sz w:val="24"/>
          <w:szCs w:val="24"/>
          <w:shd w:val="clear" w:color="auto" w:fill="FFFFFF"/>
          <w:lang w:val="en-PH"/>
        </w:rPr>
        <w:t xml:space="preserve"> 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thrombocytopenia and leukopenia. </w:t>
      </w:r>
      <w:r>
        <w:rPr>
          <w:rFonts w:hint="default" w:ascii="Cambria" w:hAnsi="Cambria" w:cs="Cambria"/>
          <w:bCs/>
          <w:i/>
          <w:color w:val="000000"/>
          <w:sz w:val="24"/>
          <w:szCs w:val="24"/>
        </w:rPr>
        <w:t>Syzygium cumini</w:t>
      </w:r>
      <w:r>
        <w:rPr>
          <w:rFonts w:hint="default" w:ascii="Cambria" w:hAnsi="Cambria" w:cs="Cambria"/>
          <w:bCs/>
          <w:i/>
          <w:color w:val="000000"/>
          <w:sz w:val="24"/>
          <w:szCs w:val="24"/>
          <w:lang w:val="en-PH"/>
        </w:rPr>
        <w:t xml:space="preserve"> (</w:t>
      </w:r>
      <w:r>
        <w:rPr>
          <w:rFonts w:hint="default" w:ascii="Cambria" w:hAnsi="Cambria" w:cs="Cambria"/>
          <w:bCs/>
          <w:i w:val="0"/>
          <w:iCs/>
          <w:color w:val="000000"/>
          <w:sz w:val="24"/>
          <w:szCs w:val="24"/>
          <w:lang w:val="en-PH"/>
        </w:rPr>
        <w:t xml:space="preserve">L.) </w:t>
      </w:r>
      <w:r>
        <w:rPr>
          <w:rFonts w:hint="default" w:ascii="Cambria" w:hAnsi="Cambria" w:cs="Cambria"/>
          <w:bCs/>
          <w:iCs/>
          <w:color w:val="000000"/>
          <w:sz w:val="24"/>
          <w:szCs w:val="24"/>
          <w:lang w:val="en-PH"/>
        </w:rPr>
        <w:t>Skeels (Myrtaceae)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 is widely used for various diseases and is particularly abundant with quercetin. </w:t>
      </w:r>
    </w:p>
    <w:p>
      <w:pPr>
        <w:ind w:firstLine="720" w:firstLineChars="0"/>
        <w:jc w:val="both"/>
        <w:rPr>
          <w:rFonts w:hint="default" w:ascii="Cambria" w:hAnsi="Cambria" w:cs="Cambria"/>
          <w:color w:val="000000"/>
          <w:sz w:val="24"/>
          <w:szCs w:val="24"/>
          <w:lang w:val="en-PH"/>
        </w:rPr>
      </w:pPr>
      <w:r>
        <w:rPr>
          <w:rFonts w:hint="default" w:ascii="Cambria" w:hAnsi="Cambria" w:cs="Cambria"/>
          <w:bCs/>
          <w:iCs/>
          <w:color w:val="000000"/>
          <w:sz w:val="24"/>
          <w:szCs w:val="24"/>
          <w:lang w:val="en-PH"/>
        </w:rPr>
        <w:t xml:space="preserve">The air-dried </w:t>
      </w:r>
      <w:r>
        <w:rPr>
          <w:rFonts w:hint="default" w:ascii="Cambria" w:hAnsi="Cambria" w:cs="Cambria"/>
          <w:bCs/>
          <w:i/>
          <w:iCs w:val="0"/>
          <w:color w:val="000000"/>
          <w:sz w:val="24"/>
          <w:szCs w:val="24"/>
          <w:lang w:val="en-PH"/>
        </w:rPr>
        <w:t>S. cumini</w:t>
      </w:r>
      <w:r>
        <w:rPr>
          <w:rFonts w:hint="default" w:ascii="Cambria" w:hAnsi="Cambria" w:cs="Cambria"/>
          <w:bCs/>
          <w:iCs/>
          <w:color w:val="000000"/>
          <w:sz w:val="24"/>
          <w:szCs w:val="24"/>
          <w:lang w:val="en-PH"/>
        </w:rPr>
        <w:t xml:space="preserve"> leaves underwent sequential extraction using </w:t>
      </w:r>
      <w:r>
        <w:rPr>
          <w:rFonts w:hint="default" w:ascii="Cambria" w:hAnsi="Cambria" w:cs="Cambria"/>
          <w:color w:val="000000"/>
          <w:sz w:val="24"/>
          <w:szCs w:val="24"/>
          <w:shd w:val="clear" w:color="auto" w:fill="FFFFFF"/>
          <w:lang w:val="en-PH"/>
        </w:rPr>
        <w:t xml:space="preserve">hexane, ethyl acetate, and methanol followed by Phytochemical Screening, </w:t>
      </w:r>
      <w:r>
        <w:rPr>
          <w:rFonts w:hint="default" w:ascii="Cambria" w:hAnsi="Cambria" w:cs="Cambria"/>
          <w:bCs/>
          <w:iCs/>
          <w:color w:val="000000"/>
          <w:sz w:val="24"/>
          <w:szCs w:val="24"/>
          <w:lang w:val="en-PH"/>
        </w:rPr>
        <w:t xml:space="preserve">where the methanolic extract was found to contain the highest amount of flavonoid (87.5 mg QE/gram), followed by the ethyl acetate extract (56.1 mg QE/gram), and the hexane extract (32.5 mg QE/gram), respectively. The methanolic leaf extract, given its numerous toxicity studies to be safe from 5 to 2,000 mg/kg as per OECD 423 guidelines, was then subjected to </w:t>
      </w:r>
      <w:r>
        <w:rPr>
          <w:rFonts w:hint="default" w:ascii="Cambria" w:hAnsi="Cambria" w:cs="Cambria"/>
          <w:bCs/>
          <w:i/>
          <w:iCs w:val="0"/>
          <w:color w:val="000000"/>
          <w:sz w:val="24"/>
          <w:szCs w:val="24"/>
          <w:lang w:val="en-PH"/>
        </w:rPr>
        <w:t>in vivo</w:t>
      </w:r>
      <w:r>
        <w:rPr>
          <w:rFonts w:hint="default" w:ascii="Cambria" w:hAnsi="Cambria" w:cs="Cambria"/>
          <w:bCs/>
          <w:iCs/>
          <w:color w:val="000000"/>
          <w:sz w:val="24"/>
          <w:szCs w:val="24"/>
          <w:lang w:val="en-PH"/>
        </w:rPr>
        <w:t xml:space="preserve"> bioassay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 utilizing 24</w:t>
      </w:r>
      <w:r>
        <w:rPr>
          <w:rFonts w:hint="default" w:ascii="Cambria" w:hAnsi="Cambria" w:cs="Cambria"/>
          <w:bCs/>
          <w:iCs/>
          <w:color w:val="000000"/>
          <w:sz w:val="24"/>
          <w:szCs w:val="24"/>
          <w:lang w:val="en-PH"/>
        </w:rPr>
        <w:t xml:space="preserve"> male Sprague-Dawley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 rats. The rats were divided into four groups (n=6) namely: </w:t>
      </w:r>
      <w:r>
        <w:rPr>
          <w:rFonts w:hint="default" w:ascii="Cambria" w:hAnsi="Cambria" w:cs="Cambria"/>
          <w:i/>
          <w:iCs/>
          <w:color w:val="000000"/>
          <w:sz w:val="24"/>
          <w:szCs w:val="24"/>
          <w:lang w:val="en-PH"/>
        </w:rPr>
        <w:t>Distilled Water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 10mL/kg p.o., </w:t>
      </w:r>
      <w:r>
        <w:rPr>
          <w:rFonts w:hint="default" w:ascii="Cambria" w:hAnsi="Cambria" w:cs="Cambria"/>
          <w:i/>
          <w:iCs/>
          <w:color w:val="000000"/>
          <w:sz w:val="24"/>
          <w:szCs w:val="24"/>
          <w:lang w:val="en-PH"/>
        </w:rPr>
        <w:t>Hydroxyurea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 15 mg/kg p.o., </w:t>
      </w:r>
      <w:r>
        <w:rPr>
          <w:rFonts w:hint="default" w:ascii="Cambria" w:hAnsi="Cambria" w:cs="Cambria"/>
          <w:i/>
          <w:iCs/>
          <w:color w:val="000000"/>
          <w:sz w:val="24"/>
          <w:szCs w:val="24"/>
          <w:lang w:val="en-PH"/>
        </w:rPr>
        <w:t>Methanolic Extract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 400 mg/kg p.o., and </w:t>
      </w:r>
      <w:r>
        <w:rPr>
          <w:rFonts w:hint="default" w:ascii="Cambria" w:hAnsi="Cambria" w:cs="Cambria"/>
          <w:i/>
          <w:iCs/>
          <w:color w:val="000000"/>
          <w:sz w:val="24"/>
          <w:szCs w:val="24"/>
          <w:lang w:val="en-PH"/>
        </w:rPr>
        <w:t>Methanolic Extract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 800 mg/kg p.o., where hydroxyurea was used to induce thrombocytopenia and leukopenia in all groups. The thrombocyte and leukocyte counts were measured before induction to get the baseline, after induction, and at the 1</w:t>
      </w:r>
      <w:r>
        <w:rPr>
          <w:rFonts w:hint="default" w:ascii="Cambria" w:hAnsi="Cambria" w:cs="Cambria"/>
          <w:color w:val="000000"/>
          <w:sz w:val="24"/>
          <w:szCs w:val="24"/>
          <w:vertAlign w:val="superscript"/>
          <w:lang w:val="en-PH"/>
        </w:rPr>
        <w:t>st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>, 3</w:t>
      </w:r>
      <w:r>
        <w:rPr>
          <w:rFonts w:hint="default" w:ascii="Cambria" w:hAnsi="Cambria" w:cs="Cambria"/>
          <w:color w:val="000000"/>
          <w:sz w:val="24"/>
          <w:szCs w:val="24"/>
          <w:vertAlign w:val="superscript"/>
          <w:lang w:val="en-PH"/>
        </w:rPr>
        <w:t>rd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>, and 6</w:t>
      </w:r>
      <w:r>
        <w:rPr>
          <w:rFonts w:hint="default" w:ascii="Cambria" w:hAnsi="Cambria" w:cs="Cambria"/>
          <w:color w:val="000000"/>
          <w:sz w:val="24"/>
          <w:szCs w:val="24"/>
          <w:vertAlign w:val="superscript"/>
          <w:lang w:val="en-PH"/>
        </w:rPr>
        <w:t>th</w:t>
      </w:r>
      <w:r>
        <w:rPr>
          <w:rFonts w:hint="default" w:ascii="Cambria" w:hAnsi="Cambria" w:cs="Cambria"/>
          <w:color w:val="000000"/>
          <w:sz w:val="24"/>
          <w:szCs w:val="24"/>
          <w:lang w:val="en-PH"/>
        </w:rPr>
        <w:t xml:space="preserve"> day of treatment. </w:t>
      </w:r>
    </w:p>
    <w:p>
      <w:pPr>
        <w:ind w:firstLine="720" w:firstLineChars="0"/>
        <w:jc w:val="both"/>
        <w:rPr>
          <w:rFonts w:hint="default" w:ascii="Cambria" w:hAnsi="Cambria" w:cs="Cambria"/>
          <w:i w:val="0"/>
          <w:iCs w:val="0"/>
          <w:color w:val="auto"/>
          <w:sz w:val="24"/>
          <w:szCs w:val="24"/>
          <w:lang w:val="en-PH"/>
        </w:rPr>
      </w:pPr>
      <w:r>
        <w:rPr>
          <w:rFonts w:hint="default" w:ascii="Cambria" w:hAnsi="Cambria" w:cs="Cambria"/>
          <w:i w:val="0"/>
          <w:iCs w:val="0"/>
          <w:color w:val="auto"/>
          <w:sz w:val="24"/>
          <w:szCs w:val="24"/>
          <w:lang w:val="en-PH"/>
        </w:rPr>
        <w:t xml:space="preserve">Applying one-way ANOVA and Duncan Test as post-hoc, results revealed that the methanolic leaf extract of </w:t>
      </w:r>
      <w:r>
        <w:rPr>
          <w:rFonts w:hint="default" w:ascii="Cambria" w:hAnsi="Cambria" w:cs="Cambria"/>
          <w:i/>
          <w:iCs/>
          <w:color w:val="auto"/>
          <w:sz w:val="24"/>
          <w:szCs w:val="24"/>
          <w:lang w:val="en-PH"/>
        </w:rPr>
        <w:t>S. cumini</w:t>
      </w:r>
      <w:r>
        <w:rPr>
          <w:rFonts w:hint="default" w:ascii="Cambria" w:hAnsi="Cambria" w:cs="Cambria"/>
          <w:i w:val="0"/>
          <w:iCs w:val="0"/>
          <w:color w:val="auto"/>
          <w:sz w:val="24"/>
          <w:szCs w:val="24"/>
          <w:lang w:val="en-PH"/>
        </w:rPr>
        <w:t xml:space="preserve"> exerted an anti-thrombocytopenic property at both doses of 400 and 800 mg/kg and an anti-leukopenic property at the dose of 800 mg/kg.</w:t>
      </w:r>
    </w:p>
    <w:p>
      <w:pPr>
        <w:ind w:firstLine="720" w:firstLineChars="0"/>
        <w:jc w:val="both"/>
        <w:rPr>
          <w:rFonts w:hint="default" w:ascii="Cambria" w:hAnsi="Cambria" w:cs="Cambria"/>
        </w:rPr>
      </w:pPr>
      <w:r>
        <w:rPr>
          <w:rFonts w:hint="default" w:ascii="Cambria" w:hAnsi="Cambria" w:cs="Cambria"/>
          <w:i w:val="0"/>
          <w:iCs w:val="0"/>
          <w:color w:val="auto"/>
          <w:sz w:val="24"/>
          <w:szCs w:val="24"/>
          <w:lang w:val="en-PH"/>
        </w:rPr>
        <w:t xml:space="preserve">This study significantly claimed for the first time that the leaves of </w:t>
      </w:r>
      <w:r>
        <w:rPr>
          <w:rFonts w:hint="default" w:ascii="Cambria" w:hAnsi="Cambria" w:cs="Cambria"/>
          <w:i/>
          <w:iCs/>
          <w:color w:val="auto"/>
          <w:sz w:val="24"/>
          <w:szCs w:val="24"/>
          <w:lang w:val="en-PH"/>
        </w:rPr>
        <w:t>S. cumini</w:t>
      </w:r>
      <w:r>
        <w:rPr>
          <w:rFonts w:hint="default" w:ascii="Cambria" w:hAnsi="Cambria" w:cs="Cambria"/>
          <w:i w:val="0"/>
          <w:iCs w:val="0"/>
          <w:color w:val="auto"/>
          <w:sz w:val="24"/>
          <w:szCs w:val="24"/>
          <w:lang w:val="en-PH"/>
        </w:rPr>
        <w:t xml:space="preserve"> can be orally active and effective in increasing platelets and WBCs in Hydroxyurea-induced thrombocytopenia and leukopenia. Hence, it is a potential candidate for further research leading to the development of an herbal therapeutic agent for Dengue.</w:t>
      </w:r>
    </w:p>
    <w:p>
      <w:pPr>
        <w:pStyle w:val="4"/>
        <w:spacing w:before="74"/>
        <w:rPr>
          <w:rFonts w:hint="default" w:ascii="Cambria" w:hAnsi="Cambria" w:cs="Cambria"/>
        </w:rPr>
      </w:pPr>
      <w:r>
        <w:rPr>
          <w:rFonts w:hint="default" w:ascii="Cambria" w:hAnsi="Cambria" w:cs="Cambria"/>
          <w:b w:val="0"/>
        </w:rPr>
        <w:br w:type="column"/>
      </w:r>
      <w:r>
        <w:rPr>
          <w:rFonts w:hint="default" w:ascii="Cambria" w:hAnsi="Cambria" w:cs="Cambria"/>
          <w:color w:val="BF5A14"/>
        </w:rPr>
        <w:t>Image</w:t>
      </w:r>
    </w:p>
    <w:p>
      <w:pPr>
        <w:pStyle w:val="6"/>
        <w:spacing w:before="2"/>
        <w:rPr>
          <w:rFonts w:hint="default" w:ascii="Cambria" w:hAnsi="Cambria" w:cs="Cambria"/>
          <w:b/>
          <w:sz w:val="16"/>
        </w:rPr>
      </w:pPr>
    </w:p>
    <w:p>
      <w:pPr>
        <w:spacing w:line="204" w:lineRule="exact"/>
        <w:rPr>
          <w:rFonts w:hint="default" w:ascii="Cambria" w:hAnsi="Cambria" w:cs="Cambria"/>
          <w:b/>
          <w:sz w:val="20"/>
        </w:rPr>
      </w:pPr>
      <w:r>
        <w:rPr>
          <w:rFonts w:hint="default" w:ascii="Cambria" w:hAnsi="Cambria" w:cs="Cambria"/>
          <w:b/>
          <w:color w:val="BF5A14"/>
          <w:sz w:val="20"/>
        </w:rPr>
        <w:br w:type="textWrapping"/>
      </w:r>
      <w:r>
        <w:rPr>
          <w:rFonts w:hint="default" w:ascii="Cambria" w:hAnsi="Cambria" w:cs="Cambria"/>
          <w:b/>
          <w:color w:val="BF5A14"/>
          <w:sz w:val="20"/>
        </w:rPr>
        <w:t>Recent Publications (minimum 5)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1.Practice of Antibiotics Consumption among Residents in Lagro, Quezon City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Journal of Chemical and Pharmaceutical Research, 2016, 8 (11): 156-158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2. Phytochemical Screening of Syzygium cumini (Myrtaceae) Leaf Extracts Using Different Solvents of Extraction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Der Pharmacia Lettre and Scholars Research Library, 2017, 9 (2): 74-78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3.Effectiveness of Guyabano Fruit (Annona muricata) and Pineapple (Ananas comosus) Extract in the Fermentation Process of Vinegar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 xml:space="preserve">4.International Journal of Applied Pharmaceutical and Biological Research, 2017; 2(3): 33-45 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 xml:space="preserve">5. In Vitro Determination of Cytotoxic Activity of Fucoidan Extract of Sargassum serratifolium C. Agardh (Aragan) Against MCF7 (Human Breast Cancer) Cell Line 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 xml:space="preserve">International Journal of Applied Pharmaceutical and Biological Research, 2017; 2(3): 33-45 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6. Knowledge of Residents of Lagro, Quezon City, Philippines on Antimicrobials and the Development of Antimicrobial Resistance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 xml:space="preserve">International Journal of Applied Pharmaceutical and Biological Research, 2017; 2(4): 18-20 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>7. A Comparative Study in the Calcium Content of the Shells of Oyster (Crassostrea echinata), Green Shell (Perna viridis), Capiz Shell (Placuna placenta), and Nylon Shell (Callista erycina) from Panay Island, Philippines</w:t>
      </w:r>
    </w:p>
    <w:p>
      <w:pPr>
        <w:tabs>
          <w:tab w:val="left" w:pos="384"/>
        </w:tabs>
        <w:ind w:right="117"/>
        <w:rPr>
          <w:rFonts w:hint="default" w:ascii="Cambria" w:hAnsi="Cambria" w:cs="Cambria"/>
        </w:rPr>
      </w:pPr>
      <w:r>
        <w:rPr>
          <w:rFonts w:hint="default" w:ascii="Cambria" w:hAnsi="Cambria" w:cs="Cambria"/>
        </w:rPr>
        <w:t xml:space="preserve">International Journal of Applied Pharmaceutical and Biological Research, 2017; 2(4): 21-27 </w:t>
      </w:r>
    </w:p>
    <w:p>
      <w:pPr>
        <w:spacing w:line="200" w:lineRule="exact"/>
        <w:jc w:val="both"/>
        <w:rPr>
          <w:rFonts w:ascii="Calibri" w:hAnsi="Calibri"/>
        </w:rPr>
        <w:sectPr>
          <w:type w:val="continuous"/>
          <w:pgSz w:w="11910" w:h="16840"/>
          <w:pgMar w:top="1740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>
      <w:pPr>
        <w:pStyle w:val="6"/>
        <w:rPr>
          <w:rFonts w:ascii="Calibri"/>
          <w:sz w:val="20"/>
        </w:rPr>
      </w:pPr>
    </w:p>
    <w:p>
      <w:pPr>
        <w:pStyle w:val="6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ZJRBh1AAAAAMBAAAPAAAAAAAAAAEAIAAAACIAAABkcnMvZG93bnJldi54bWxQSwECFAAU&#10;AAAACACHTuJAd/MxkfUBAABHBAAADgAAAAAAAAABACAAAAAjAQAAZHJzL2Uyb0RvYy54bWxQSwUG&#10;AAAAAAYABgBZAQAAigUAAAAA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/>
        <w:ind w:right="4234"/>
        <w:rPr>
          <w:rFonts w:ascii="Arial"/>
        </w:rPr>
      </w:pPr>
      <w:r>
        <w:t xml:space="preserve">              </w:t>
      </w:r>
      <w:bookmarkStart w:id="0" w:name="_GoBack"/>
      <w:r>
        <w:rPr>
          <w:rFonts w:ascii="Arial"/>
          <w:color w:val="BF5A14"/>
        </w:rPr>
        <w:drawing>
          <wp:inline distT="0" distB="0" distL="114300" distR="114300">
            <wp:extent cx="1428750" cy="1676400"/>
            <wp:effectExtent l="0" t="0" r="0" b="0"/>
            <wp:docPr id="2" name="Picture 2" descr="unna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unname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Arial"/>
          <w:color w:val="BF5A14"/>
        </w:rPr>
        <w:t>Biography (150 word limit)</w:t>
      </w:r>
    </w:p>
    <w:p>
      <w:pPr>
        <w:numPr>
          <w:ilvl w:val="0"/>
          <w:numId w:val="0"/>
        </w:numPr>
        <w:tabs>
          <w:tab w:val="left" w:pos="594"/>
          <w:tab w:val="left" w:pos="900"/>
          <w:tab w:val="left" w:pos="2700"/>
          <w:tab w:val="left" w:pos="3168"/>
          <w:tab w:val="left" w:pos="3474"/>
        </w:tabs>
        <w:ind w:right="288" w:rightChars="0"/>
        <w:jc w:val="both"/>
        <w:rPr>
          <w:rFonts w:hint="default" w:ascii="Cambria" w:hAnsi="Cambria" w:cs="Cambria"/>
          <w:bCs/>
          <w:color w:val="000000"/>
          <w:sz w:val="24"/>
          <w:szCs w:val="24"/>
          <w:lang w:val="en-PH"/>
        </w:rPr>
      </w:pPr>
      <w:r>
        <w:rPr>
          <w:rFonts w:hint="default" w:ascii="Cambria" w:hAnsi="Cambria" w:cs="Cambria"/>
          <w:bCs/>
          <w:color w:val="000000"/>
          <w:sz w:val="24"/>
          <w:szCs w:val="24"/>
          <w:lang w:val="en-PH"/>
        </w:rPr>
        <w:t xml:space="preserve">Teresa May B. Bandiola is a candidate of MS Pharmacy at the Royal and Pontifical University of Santo Tomas, Manila, and has taught at two distinct universities in the Philipiines namely: Our Lady of Fatima University and National University. </w:t>
      </w:r>
    </w:p>
    <w:p>
      <w:pPr>
        <w:numPr>
          <w:ilvl w:val="0"/>
          <w:numId w:val="0"/>
        </w:numPr>
        <w:tabs>
          <w:tab w:val="left" w:pos="594"/>
          <w:tab w:val="left" w:pos="900"/>
          <w:tab w:val="left" w:pos="2700"/>
          <w:tab w:val="left" w:pos="3168"/>
          <w:tab w:val="left" w:pos="3474"/>
        </w:tabs>
        <w:ind w:right="288" w:rightChars="0"/>
        <w:jc w:val="both"/>
        <w:rPr>
          <w:rFonts w:hint="default" w:ascii="Cambria" w:hAnsi="Cambria" w:cs="Cambria"/>
          <w:bCs/>
          <w:color w:val="000000"/>
          <w:sz w:val="24"/>
          <w:szCs w:val="24"/>
          <w:lang w:val="en-PH"/>
        </w:rPr>
      </w:pPr>
      <w:r>
        <w:rPr>
          <w:rFonts w:hint="default" w:ascii="Cambria" w:hAnsi="Cambria" w:cs="Cambria"/>
          <w:bCs/>
          <w:color w:val="000000"/>
          <w:sz w:val="24"/>
          <w:szCs w:val="24"/>
          <w:lang w:val="en-PH"/>
        </w:rPr>
        <w:tab/>
      </w:r>
      <w:r>
        <w:rPr>
          <w:rFonts w:hint="default" w:ascii="Cambria" w:hAnsi="Cambria" w:cs="Cambria"/>
          <w:bCs/>
          <w:color w:val="000000"/>
          <w:sz w:val="24"/>
          <w:szCs w:val="24"/>
          <w:lang w:val="en-PH"/>
        </w:rPr>
        <w:t xml:space="preserve">Additionally, she has authored six journal publications and has written two articles for Philippine Daily Inquirer, a national newspaper, and one article for a local newsletter. Presently, she is a reviewer of two international pharmacy journals and an editorial board member of eight international pharmacy journals including EC Pharmacology and Toxicology, which is based in the United Kingdom. </w:t>
      </w:r>
    </w:p>
    <w:p>
      <w:pPr>
        <w:numPr>
          <w:ilvl w:val="0"/>
          <w:numId w:val="0"/>
        </w:numPr>
        <w:tabs>
          <w:tab w:val="left" w:pos="594"/>
          <w:tab w:val="left" w:pos="900"/>
          <w:tab w:val="left" w:pos="2700"/>
          <w:tab w:val="left" w:pos="3168"/>
          <w:tab w:val="left" w:pos="3474"/>
        </w:tabs>
        <w:ind w:right="288" w:rightChars="0"/>
        <w:jc w:val="both"/>
        <w:rPr>
          <w:rFonts w:hint="default" w:ascii="Cambria" w:hAnsi="Cambria" w:cs="Cambria"/>
          <w:bCs/>
          <w:color w:val="000000"/>
          <w:sz w:val="24"/>
          <w:szCs w:val="24"/>
          <w:lang w:val="en-PH"/>
        </w:rPr>
      </w:pPr>
      <w:r>
        <w:rPr>
          <w:rFonts w:hint="default" w:ascii="Cambria" w:hAnsi="Cambria" w:cs="Cambria"/>
          <w:bCs/>
          <w:color w:val="000000"/>
          <w:sz w:val="24"/>
          <w:szCs w:val="24"/>
          <w:lang w:val="en-PH"/>
        </w:rPr>
        <w:tab/>
      </w:r>
      <w:r>
        <w:rPr>
          <w:rFonts w:hint="default" w:ascii="Cambria" w:hAnsi="Cambria" w:cs="Cambria"/>
          <w:bCs/>
          <w:color w:val="000000"/>
          <w:sz w:val="24"/>
          <w:szCs w:val="24"/>
          <w:lang w:val="en-PH"/>
        </w:rPr>
        <w:t>Aside from various national associations she is affiliated with, the researcher is also a member of International Pharmaceutical Federation (FIP) in The Hague, Netherlands.</w:t>
      </w:r>
    </w:p>
    <w:p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>
        <w:rPr>
          <w:rFonts w:ascii="Arial"/>
          <w:sz w:val="14"/>
          <w:lang w:val="en-PH"/>
        </w:rPr>
        <w:t xml:space="preserve"> </w:t>
      </w:r>
      <w:r>
        <w:rPr>
          <w:rFonts w:hint="default" w:ascii="Arial"/>
          <w:sz w:val="14"/>
          <w:lang w:val="en-PH"/>
        </w:rPr>
        <w:t>bandiolateresamayb@gmail.com</w:t>
      </w:r>
    </w:p>
    <w:p>
      <w:pPr>
        <w:pStyle w:val="6"/>
        <w:spacing w:before="2"/>
        <w:rPr>
          <w:rFonts w:ascii="Arial"/>
          <w:sz w:val="19"/>
        </w:rPr>
      </w:pPr>
      <w:r>
        <mc:AlternateContent>
          <mc:Choice Requires="wps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OKUBv&#10;1gAAAAkBAAAPAAAAAAAAAAEAIAAAACIAAABkcnMvZG93bnJldi54bWxQSwECFAAUAAAACACHTuJA&#10;mnOm17EBAABSAwAADgAAAAAAAAABACAAAAAlAQAAZHJzL2Uyb0RvYy54bWxQSwUGAAAAAAYABgBZ&#10;AQAASA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6"/>
        <w:rPr>
          <w:rFonts w:ascii="Arial"/>
          <w:sz w:val="20"/>
        </w:rPr>
      </w:pPr>
    </w:p>
    <w:p>
      <w:pPr>
        <w:pStyle w:val="6"/>
        <w:rPr>
          <w:rFonts w:ascii="Arial"/>
          <w:sz w:val="20"/>
        </w:rPr>
      </w:pPr>
    </w:p>
    <w:p>
      <w:pPr>
        <w:pStyle w:val="6"/>
        <w:spacing w:before="7"/>
        <w:rPr>
          <w:rFonts w:ascii="Arial"/>
          <w:sz w:val="29"/>
        </w:rPr>
      </w:pPr>
    </w:p>
    <w:p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>
      <w:pPr>
        <w:rPr>
          <w:rFonts w:ascii="Minion Pro"/>
          <w:sz w:val="24"/>
          <w:lang w:val="en-PH"/>
        </w:rPr>
        <w:sectPr>
          <w:type w:val="continuous"/>
          <w:pgSz w:w="11910" w:h="16840"/>
          <w:pgMar w:top="1740" w:right="600" w:bottom="840" w:left="620" w:header="720" w:footer="720" w:gutter="0"/>
          <w:cols w:space="720" w:num="1"/>
        </w:sectPr>
      </w:pPr>
      <w:r>
        <w:rPr>
          <w:rFonts w:ascii="Minion Pro"/>
          <w:sz w:val="24"/>
          <w:lang w:val="en-PH"/>
        </w:rPr>
        <w:t>None</w:t>
      </w:r>
    </w:p>
    <w:p>
      <w:pPr>
        <w:pStyle w:val="6"/>
        <w:spacing w:before="3"/>
        <w:rPr>
          <w:rFonts w:ascii="Minion Pro"/>
          <w:sz w:val="26"/>
        </w:rPr>
      </w:pPr>
    </w:p>
    <w:sectPr>
      <w:type w:val="continuous"/>
      <w:pgSz w:w="11910" w:h="16840"/>
      <w:pgMar w:top="1740" w:right="580" w:bottom="840" w:left="620" w:header="720" w:footer="720" w:gutter="0"/>
      <w:cols w:equalWidth="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Tw Cen MT">
    <w:altName w:val="Segoe Print"/>
    <w:panose1 w:val="020B0602020104020603"/>
    <w:charset w:val="00"/>
    <w:family w:val="swiss"/>
    <w:pitch w:val="default"/>
    <w:sig w:usb0="00000000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riad Pro">
    <w:altName w:val="Corbe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8000012" w:usb3="00000000" w:csb0="0002009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OOFK H+ Trebuchet MS">
    <w:altName w:val="Trebuchet MS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wiss Light 10p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8" w:usb3="00000000" w:csb0="0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5120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AJbqTaAAAA&#10;DAEAAA8AAAAAAAAAAQAgAAAAIgAAAGRycy9kb3ducmV2LnhtbFBLAQIUABQAAAAIAIdO4kCAkC5P&#10;4gEAALYDAAAOAAAAAAAAAAEAIAAAACk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5120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gNYJNoAAAAN&#10;AQAADwAAAAAAAAABACAAAAAiAAAAZHJzL2Rvd25yZXYueG1sUEsBAhQAFAAAAAgAh07iQFvRWTvh&#10;AQAAtgMAAA4AAAAAAAAAAQAgAAAAKQ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5120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bMZ2dsAAAAO&#10;AQAADwAAAAAAAAABACAAAAAiAAAAZHJzL2Rvd25yZXYueG1sUEsBAhQAFAAAAAgAh07iQAokTj3g&#10;AQAAtgMAAA4AAAAAAAAAAQAgAAAAK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T Furuta et al., J Pai n Relief 2016, 5:3(Suppl)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"http://dx.doi.org/10.4172/2167-0846.C1.006"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http://dx.doi.org/10.4172/2167-0846.C1.006</w:t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416pt;margin-top:26.05pt;height:17.4pt;width:144.3pt;mso-position-horizontal-relative:page;mso-position-vertical-relative:page;z-index:-5120;mso-width-relative:page;mso-height-relative:page;" filled="f" stroked="f" coordsize="21600,21600" o:gfxdata="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p1iuI2QAAAAoB&#10;AAAPAAAAAAAAAAEAIAAAACIAAABkcnMvZG93bnJldi54bWxQSwECFAAUAAAACACHTuJAWRO2/OEB&#10;AAC3AwAADgAAAAAAAAABACAAAAAo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T Furuta et al., J Pai n Relief 2016, 5:3(Suppl) </w:t>
                    </w:r>
                    <w:r>
                      <w:fldChar w:fldCharType="begin"/>
                    </w:r>
                    <w:r>
                      <w:instrText xml:space="preserve"> HYPERLINK "http://dx.doi.org/10.4172/2167-0846.C1.006" \h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http://dx.doi.org/10.4172/2167-0846.C1.006</w:t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International Conference on</w:t>
                          </w:r>
                        </w:p>
                        <w:p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35pt;margin-top:48.3pt;height:40.1pt;width:515.95pt;mso-position-horizontal-relative:page;mso-position-vertical-relative:page;z-index:-5120;mso-width-relative:page;mso-height-relative:page;" filled="f" stroked="f" coordsize="21600,21600" o:gfxdata="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ML0Fa2AAAAAoB&#10;AAAPAAAAAAAAAAEAIAAAACIAAABkcnMvZG93bnJldi54bWxQSwECFAAUAAAACACHTuJAsUFBEuIB&#10;AAC3AwAADgAAAAAAAAABACAAAAAn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International Conference on</w:t>
                    </w:r>
                  </w:p>
                  <w:p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(June 15-16, 2016   Philadelphia, USA)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F72EEA"/>
    <w:rsid w:val="00F84CAE"/>
    <w:rsid w:val="2FBD6E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9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unhideWhenUsed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7"/>
    <w:qFormat/>
    <w:uiPriority w:val="1"/>
    <w:rPr>
      <w:sz w:val="18"/>
      <w:szCs w:val="18"/>
    </w:rPr>
  </w:style>
  <w:style w:type="paragraph" w:styleId="7">
    <w:name w:val="footer"/>
    <w:basedOn w:val="1"/>
    <w:link w:val="15"/>
    <w:unhideWhenUsed/>
    <w:uiPriority w:val="99"/>
    <w:pPr>
      <w:tabs>
        <w:tab w:val="center" w:pos="4513"/>
        <w:tab w:val="right" w:pos="9026"/>
      </w:tabs>
    </w:pPr>
  </w:style>
  <w:style w:type="paragraph" w:styleId="8">
    <w:name w:val="header"/>
    <w:basedOn w:val="1"/>
    <w:link w:val="14"/>
    <w:unhideWhenUsed/>
    <w:uiPriority w:val="99"/>
    <w:pPr>
      <w:tabs>
        <w:tab w:val="center" w:pos="4513"/>
        <w:tab w:val="right" w:pos="9026"/>
      </w:tabs>
    </w:pPr>
  </w:style>
  <w:style w:type="character" w:styleId="10">
    <w:name w:val="Hyperlink"/>
    <w:basedOn w:val="9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Header Char"/>
    <w:basedOn w:val="9"/>
    <w:link w:val="8"/>
    <w:uiPriority w:val="99"/>
    <w:rPr>
      <w:rFonts w:ascii="Tw Cen MT" w:hAnsi="Tw Cen MT" w:eastAsia="Tw Cen MT" w:cs="Tw Cen MT"/>
    </w:rPr>
  </w:style>
  <w:style w:type="character" w:customStyle="1" w:styleId="15">
    <w:name w:val="Footer Char"/>
    <w:basedOn w:val="9"/>
    <w:link w:val="7"/>
    <w:uiPriority w:val="99"/>
    <w:rPr>
      <w:rFonts w:ascii="Tw Cen MT" w:hAnsi="Tw Cen MT" w:eastAsia="Tw Cen MT" w:cs="Tw Cen MT"/>
    </w:rPr>
  </w:style>
  <w:style w:type="character" w:customStyle="1" w:styleId="16">
    <w:name w:val="Balloon Text Char"/>
    <w:basedOn w:val="9"/>
    <w:link w:val="5"/>
    <w:semiHidden/>
    <w:uiPriority w:val="99"/>
    <w:rPr>
      <w:rFonts w:ascii="Tahoma" w:hAnsi="Tahoma" w:eastAsia="Tw Cen MT" w:cs="Tahoma"/>
      <w:sz w:val="16"/>
      <w:szCs w:val="16"/>
    </w:rPr>
  </w:style>
  <w:style w:type="character" w:customStyle="1" w:styleId="17">
    <w:name w:val="Body Text Char"/>
    <w:basedOn w:val="9"/>
    <w:link w:val="6"/>
    <w:uiPriority w:val="1"/>
    <w:rPr>
      <w:rFonts w:ascii="Tw Cen MT" w:hAnsi="Tw Cen MT" w:eastAsia="Tw Cen MT" w:cs="Tw Cen M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549</Words>
  <Characters>3132</Characters>
  <Lines>26</Lines>
  <Paragraphs>7</Paragraphs>
  <ScaleCrop>false</ScaleCrop>
  <LinksUpToDate>false</LinksUpToDate>
  <CharactersWithSpaces>3674</CharactersWithSpaces>
  <Application>WPS Office_10.2.0.5965_F1E327BC-269C-435d-A152-05C5408002CA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2016-08-31T10:27:00Z</dcterms:created>
  <dc:creator>mehaboobi shaik</dc:creator>
  <cp:lastModifiedBy>TerBand</cp:lastModifiedBy>
  <dcterms:modified xsi:type="dcterms:W3CDTF">2018-01-13T17:26:51Z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1033-10.2.0.5965</vt:lpwstr>
  </property>
</Properties>
</file>