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AC0" w:rsidRPr="000D4AC0" w:rsidRDefault="000D4AC0" w:rsidP="00FF26D6">
      <w:pPr>
        <w:autoSpaceDE w:val="0"/>
        <w:autoSpaceDN w:val="0"/>
        <w:adjustRightInd w:val="0"/>
        <w:spacing w:line="276" w:lineRule="auto"/>
        <w:jc w:val="both"/>
        <w:rPr>
          <w:rFonts w:ascii="Minion Pro" w:hAnsi="Minion Pro" w:cs="Times New Roman"/>
          <w:b/>
          <w:color w:val="4F81BD" w:themeColor="accent1"/>
          <w:sz w:val="36"/>
          <w:szCs w:val="36"/>
        </w:rPr>
      </w:pPr>
      <w:r w:rsidRPr="000D4AC0">
        <w:rPr>
          <w:rFonts w:ascii="Minion Pro" w:hAnsi="Minion Pro" w:cs="Times New Roman"/>
          <w:b/>
          <w:color w:val="4F81BD" w:themeColor="accent1"/>
          <w:sz w:val="36"/>
          <w:szCs w:val="36"/>
        </w:rPr>
        <w:t xml:space="preserve">Ethnopharmacological </w:t>
      </w:r>
      <w:r w:rsidR="00FF26D6">
        <w:rPr>
          <w:rFonts w:ascii="Minion Pro" w:hAnsi="Minion Pro" w:cs="Times New Roman"/>
          <w:b/>
          <w:color w:val="4F81BD" w:themeColor="accent1"/>
          <w:sz w:val="36"/>
          <w:szCs w:val="36"/>
        </w:rPr>
        <w:t>E</w:t>
      </w:r>
      <w:r w:rsidRPr="000D4AC0">
        <w:rPr>
          <w:rFonts w:ascii="Minion Pro" w:hAnsi="Minion Pro" w:cs="Times New Roman"/>
          <w:b/>
          <w:color w:val="4F81BD" w:themeColor="accent1"/>
          <w:sz w:val="36"/>
          <w:szCs w:val="36"/>
        </w:rPr>
        <w:t xml:space="preserve">valuation of </w:t>
      </w:r>
      <w:proofErr w:type="spellStart"/>
      <w:r w:rsidR="00FF26D6" w:rsidRPr="00FF26D6">
        <w:rPr>
          <w:rFonts w:ascii="Minion Pro" w:hAnsi="Minion Pro" w:cs="Times New Roman"/>
          <w:b/>
          <w:i/>
          <w:color w:val="4F81BD" w:themeColor="accent1"/>
          <w:sz w:val="36"/>
          <w:szCs w:val="36"/>
        </w:rPr>
        <w:t>C</w:t>
      </w:r>
      <w:r w:rsidRPr="00FF26D6">
        <w:rPr>
          <w:rFonts w:ascii="Minion Pro" w:hAnsi="Minion Pro" w:cs="Times New Roman"/>
          <w:b/>
          <w:i/>
          <w:color w:val="4F81BD" w:themeColor="accent1"/>
          <w:sz w:val="36"/>
          <w:szCs w:val="36"/>
        </w:rPr>
        <w:t>oriandrum</w:t>
      </w:r>
      <w:proofErr w:type="spellEnd"/>
      <w:r w:rsidR="00FF26D6" w:rsidRPr="00FF26D6">
        <w:rPr>
          <w:rFonts w:ascii="Minion Pro" w:hAnsi="Minion Pro" w:cs="Times New Roman"/>
          <w:b/>
          <w:i/>
          <w:color w:val="4F81BD" w:themeColor="accent1"/>
          <w:sz w:val="36"/>
          <w:szCs w:val="36"/>
        </w:rPr>
        <w:t xml:space="preserve"> </w:t>
      </w:r>
      <w:r w:rsidRPr="00FF26D6">
        <w:rPr>
          <w:rFonts w:ascii="Minion Pro" w:hAnsi="Minion Pro" w:cs="Times New Roman"/>
          <w:b/>
          <w:i/>
          <w:color w:val="4F81BD" w:themeColor="accent1"/>
          <w:sz w:val="36"/>
          <w:szCs w:val="36"/>
        </w:rPr>
        <w:t>sativum</w:t>
      </w:r>
      <w:r w:rsidRPr="000D4AC0">
        <w:rPr>
          <w:rFonts w:ascii="Minion Pro" w:hAnsi="Minion Pro" w:cs="Times New Roman"/>
          <w:b/>
          <w:color w:val="4F81BD" w:themeColor="accent1"/>
          <w:sz w:val="36"/>
          <w:szCs w:val="36"/>
        </w:rPr>
        <w:t xml:space="preserve"> against </w:t>
      </w:r>
      <w:r w:rsidR="00FF26D6">
        <w:rPr>
          <w:rFonts w:ascii="Minion Pro" w:hAnsi="Minion Pro" w:cs="Times New Roman"/>
          <w:b/>
          <w:color w:val="4F81BD" w:themeColor="accent1"/>
          <w:sz w:val="36"/>
          <w:szCs w:val="36"/>
        </w:rPr>
        <w:t>U</w:t>
      </w:r>
      <w:r w:rsidRPr="000D4AC0">
        <w:rPr>
          <w:rFonts w:ascii="Minion Pro" w:hAnsi="Minion Pro" w:cs="Times New Roman"/>
          <w:b/>
          <w:color w:val="4F81BD" w:themeColor="accent1"/>
          <w:sz w:val="36"/>
          <w:szCs w:val="36"/>
        </w:rPr>
        <w:t>rolithiasis</w:t>
      </w:r>
    </w:p>
    <w:p w:rsidR="000D4AC0" w:rsidRDefault="000D4AC0" w:rsidP="00FF26D6">
      <w:pPr>
        <w:pStyle w:val="BodyText"/>
        <w:spacing w:line="276" w:lineRule="auto"/>
        <w:ind w:left="100"/>
        <w:jc w:val="both"/>
        <w:rPr>
          <w:rFonts w:ascii="Arial"/>
        </w:rPr>
      </w:pPr>
      <w:r w:rsidRPr="00FF26D6">
        <w:rPr>
          <w:rFonts w:ascii="Arial"/>
          <w:bCs/>
          <w:u w:val="single"/>
        </w:rPr>
        <w:t>Qaiser Jabeen</w:t>
      </w:r>
      <w:r w:rsidR="00FF26D6">
        <w:rPr>
          <w:rFonts w:ascii="Arial"/>
          <w:bCs/>
        </w:rPr>
        <w:t xml:space="preserve">, PhD (Pharmacology), Associate Professor, the </w:t>
      </w:r>
      <w:proofErr w:type="spellStart"/>
      <w:r w:rsidR="00FF26D6">
        <w:rPr>
          <w:rFonts w:ascii="Arial"/>
          <w:bCs/>
        </w:rPr>
        <w:t>Islamia</w:t>
      </w:r>
      <w:proofErr w:type="spellEnd"/>
      <w:r w:rsidR="00FF26D6">
        <w:rPr>
          <w:rFonts w:ascii="Arial"/>
          <w:bCs/>
        </w:rPr>
        <w:t xml:space="preserve"> University of Bahawalpur, Pakistan</w:t>
      </w:r>
    </w:p>
    <w:p w:rsidR="00AE3E37" w:rsidRPr="000D4AC0" w:rsidRDefault="000D4AC0" w:rsidP="00FF26D6">
      <w:pPr>
        <w:pStyle w:val="BodyText"/>
        <w:spacing w:line="276" w:lineRule="auto"/>
        <w:jc w:val="both"/>
        <w:rPr>
          <w:rFonts w:ascii="Arial"/>
          <w:bCs/>
          <w:sz w:val="20"/>
        </w:rPr>
      </w:pPr>
      <w:r>
        <w:rPr>
          <w:rFonts w:ascii="Arial"/>
          <w:bCs/>
        </w:rPr>
        <w:t xml:space="preserve">  </w:t>
      </w:r>
      <w:r w:rsidRPr="000D4AC0">
        <w:rPr>
          <w:rFonts w:ascii="Arial"/>
          <w:bCs/>
        </w:rPr>
        <w:t>Ayesha Jamshed</w:t>
      </w:r>
      <w:r w:rsidR="00FF26D6">
        <w:rPr>
          <w:rFonts w:ascii="Arial"/>
          <w:bCs/>
        </w:rPr>
        <w:t xml:space="preserve"> and </w:t>
      </w:r>
      <w:proofErr w:type="spellStart"/>
      <w:r w:rsidR="00FF26D6">
        <w:rPr>
          <w:rFonts w:ascii="Arial"/>
          <w:bCs/>
        </w:rPr>
        <w:t>Maham</w:t>
      </w:r>
      <w:proofErr w:type="spellEnd"/>
      <w:r w:rsidR="00FF26D6">
        <w:rPr>
          <w:rFonts w:ascii="Arial"/>
          <w:bCs/>
        </w:rPr>
        <w:t xml:space="preserve"> Zulfiqar</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0D4AC0">
      <w:pPr>
        <w:pStyle w:val="Heading3"/>
        <w:spacing w:before="147"/>
        <w:jc w:val="both"/>
      </w:pPr>
      <w:r>
        <w:rPr>
          <w:color w:val="BF5A14"/>
        </w:rPr>
        <w:t>Abstract</w:t>
      </w:r>
      <w:r w:rsidR="00404E5B">
        <w:rPr>
          <w:color w:val="BF5A14"/>
        </w:rPr>
        <w:t xml:space="preserve"> </w:t>
      </w:r>
    </w:p>
    <w:p w:rsidR="00AE3E37" w:rsidRDefault="00A9710C" w:rsidP="00FF26D6">
      <w:pPr>
        <w:pStyle w:val="BodyText"/>
        <w:spacing w:before="90" w:line="280" w:lineRule="auto"/>
        <w:ind w:left="100"/>
        <w:jc w:val="both"/>
      </w:pPr>
      <w:r>
        <w:t xml:space="preserve">Statement of the Problem: </w:t>
      </w:r>
      <w:r w:rsidR="00E332CB" w:rsidRPr="00E332CB">
        <w:t>Urolithiasis is a worldwide common problem with high socio-economic influence</w:t>
      </w:r>
      <w:r w:rsidR="00E332CB">
        <w:t xml:space="preserve">. </w:t>
      </w:r>
      <w:r w:rsidR="0038268F" w:rsidRPr="0038268F">
        <w:t xml:space="preserve">It is a recurrent ailment </w:t>
      </w:r>
      <w:r w:rsidR="0038268F">
        <w:t xml:space="preserve">and </w:t>
      </w:r>
      <w:r w:rsidR="0038268F" w:rsidRPr="0038268F">
        <w:t xml:space="preserve">most prevalent urological diseases in Pakistan. </w:t>
      </w:r>
      <w:r w:rsidR="0038268F">
        <w:t xml:space="preserve">Due to limitations in pharmacological therapies, </w:t>
      </w:r>
      <w:proofErr w:type="spellStart"/>
      <w:r w:rsidR="0038268F" w:rsidRPr="0038268F">
        <w:t>phytotherapy</w:t>
      </w:r>
      <w:proofErr w:type="spellEnd"/>
      <w:r w:rsidR="0038268F" w:rsidRPr="0038268F">
        <w:t xml:space="preserve"> </w:t>
      </w:r>
      <w:r w:rsidR="0038268F">
        <w:t>has gained popularity worldwide.</w:t>
      </w:r>
      <w:r>
        <w:t xml:space="preserve"> The purpose of this study is to</w:t>
      </w:r>
      <w:r w:rsidR="00E332CB">
        <w:t xml:space="preserve"> determine the preventive and curative potential of crude extracts of </w:t>
      </w:r>
      <w:proofErr w:type="spellStart"/>
      <w:r w:rsidR="00E332CB" w:rsidRPr="00E332CB">
        <w:rPr>
          <w:i/>
          <w:iCs/>
        </w:rPr>
        <w:t>Corriandum</w:t>
      </w:r>
      <w:proofErr w:type="spellEnd"/>
      <w:r w:rsidR="00E332CB" w:rsidRPr="00E332CB">
        <w:rPr>
          <w:i/>
          <w:iCs/>
        </w:rPr>
        <w:t xml:space="preserve"> sativum</w:t>
      </w:r>
      <w:r w:rsidR="00404E5B">
        <w:t xml:space="preserve"> </w:t>
      </w:r>
      <w:r w:rsidR="00E332CB" w:rsidRPr="00E332CB">
        <w:t>against urolithiasis based on their traditional use in urinary diso</w:t>
      </w:r>
      <w:r w:rsidR="00FF26D6">
        <w:t>r</w:t>
      </w:r>
      <w:r w:rsidR="00E332CB" w:rsidRPr="00E332CB">
        <w:t xml:space="preserve">ders. </w:t>
      </w:r>
      <w:r>
        <w:t>Methodolog</w:t>
      </w:r>
      <w:r w:rsidR="008756E6">
        <w:t xml:space="preserve">y: </w:t>
      </w:r>
      <w:r w:rsidR="00AC5FFC" w:rsidRPr="00AC5FFC">
        <w:t xml:space="preserve">Aqueous methanolic extracts of </w:t>
      </w:r>
      <w:r w:rsidR="00FF26D6">
        <w:t>leaves (</w:t>
      </w:r>
      <w:proofErr w:type="spellStart"/>
      <w:r w:rsidR="00AC5FFC" w:rsidRPr="00AC5FFC">
        <w:t>CsL.Cr</w:t>
      </w:r>
      <w:proofErr w:type="spellEnd"/>
      <w:r w:rsidR="00FF26D6">
        <w:t>)</w:t>
      </w:r>
      <w:r w:rsidR="00AC5FFC" w:rsidRPr="00AC5FFC">
        <w:t xml:space="preserve"> and </w:t>
      </w:r>
      <w:r w:rsidR="00FF26D6">
        <w:t>seeds (</w:t>
      </w:r>
      <w:proofErr w:type="spellStart"/>
      <w:r w:rsidR="00AC5FFC" w:rsidRPr="00AC5FFC">
        <w:t>CsS.Cr</w:t>
      </w:r>
      <w:proofErr w:type="spellEnd"/>
      <w:r w:rsidR="00FF26D6">
        <w:t>)</w:t>
      </w:r>
      <w:r w:rsidR="00AC5FFC" w:rsidRPr="00AC5FFC">
        <w:t xml:space="preserve"> were prepared separately by maceration followed by filtration and then evaporation through rotary evaporator. Preliminary phytochemical screening was performed for each of the crude extract. Urolithiasis was developed in albino rats by the administration of ammonium chloride (1</w:t>
      </w:r>
      <w:r w:rsidR="00AC5FFC" w:rsidRPr="00AC5FFC">
        <w:rPr>
          <w:vertAlign w:val="superscript"/>
        </w:rPr>
        <w:t>st</w:t>
      </w:r>
      <w:r w:rsidR="00AC5FFC" w:rsidRPr="00AC5FFC">
        <w:t xml:space="preserve"> five days) and ethylene glycol for 3 weeks in drinking water. Different doses (100, 300 and 500 mg/kg) of </w:t>
      </w:r>
      <w:proofErr w:type="spellStart"/>
      <w:r w:rsidR="00AC5FFC" w:rsidRPr="00AC5FFC">
        <w:t>CsL.Cr</w:t>
      </w:r>
      <w:proofErr w:type="spellEnd"/>
      <w:r w:rsidR="00AC5FFC" w:rsidRPr="00AC5FFC">
        <w:t xml:space="preserve"> and </w:t>
      </w:r>
      <w:proofErr w:type="spellStart"/>
      <w:r w:rsidR="00AC5FFC" w:rsidRPr="00AC5FFC">
        <w:t>CsS.Cr</w:t>
      </w:r>
      <w:proofErr w:type="spellEnd"/>
      <w:r w:rsidR="00AC5FFC" w:rsidRPr="00AC5FFC">
        <w:t xml:space="preserve"> were given concomitantly with lithogenic regimen in prophylactic model and after intoxication for the next two weeks in curative model. Percent change in body weight was calculated during and at the end of study. Urine samples were analyzed for crystal count, urine pH and uric acid levels. Blood was collected and serum was prepared to check the levels of</w:t>
      </w:r>
      <w:r w:rsidR="00AC5FFC" w:rsidRPr="00AC5FFC">
        <w:rPr>
          <w:bCs/>
        </w:rPr>
        <w:t xml:space="preserve"> creatinine</w:t>
      </w:r>
      <w:r w:rsidR="00AC5FFC" w:rsidRPr="00AC5FFC">
        <w:t>, urea nitrogen, calcium and magnesium. One kidney from each group wa</w:t>
      </w:r>
      <w:r w:rsidR="00AC5FFC">
        <w:t xml:space="preserve">s studied </w:t>
      </w:r>
      <w:proofErr w:type="spellStart"/>
      <w:r w:rsidR="00AC5FFC">
        <w:t>histopathologically</w:t>
      </w:r>
      <w:proofErr w:type="spellEnd"/>
      <w:r w:rsidR="00AC5FFC">
        <w:t>.</w:t>
      </w:r>
      <w:r>
        <w:t xml:space="preserve"> Findings</w:t>
      </w:r>
      <w:r w:rsidR="00FF26D6">
        <w:t>:</w:t>
      </w:r>
      <w:r w:rsidR="00AC5FFC" w:rsidRPr="00AC5FFC">
        <w:rPr>
          <w:rFonts w:ascii="Times New Roman" w:eastAsiaTheme="minorHAnsi" w:hAnsi="Times New Roman" w:cs="Times New Roman"/>
          <w:bCs/>
          <w:sz w:val="24"/>
          <w:szCs w:val="24"/>
        </w:rPr>
        <w:t xml:space="preserve"> </w:t>
      </w:r>
      <w:proofErr w:type="spellStart"/>
      <w:r w:rsidR="00AC5FFC" w:rsidRPr="00AC5FFC">
        <w:rPr>
          <w:bCs/>
        </w:rPr>
        <w:t>CsL.Cr</w:t>
      </w:r>
      <w:proofErr w:type="spellEnd"/>
      <w:r w:rsidR="00AC5FFC" w:rsidRPr="00AC5FFC">
        <w:rPr>
          <w:bCs/>
        </w:rPr>
        <w:t xml:space="preserve"> and </w:t>
      </w:r>
      <w:proofErr w:type="spellStart"/>
      <w:r w:rsidR="00AC5FFC" w:rsidRPr="00AC5FFC">
        <w:rPr>
          <w:bCs/>
        </w:rPr>
        <w:t>CsS.Cr</w:t>
      </w:r>
      <w:proofErr w:type="spellEnd"/>
      <w:r w:rsidR="00AC5FFC" w:rsidRPr="00AC5FFC">
        <w:rPr>
          <w:bCs/>
        </w:rPr>
        <w:t xml:space="preserve">, at the doses of 100, 300 and 500 mg/kg, were found to inhibit Ca-oxalate crystals supersaturation in urine thus protecting against </w:t>
      </w:r>
      <w:proofErr w:type="spellStart"/>
      <w:r w:rsidR="00AC5FFC" w:rsidRPr="00AC5FFC">
        <w:rPr>
          <w:bCs/>
        </w:rPr>
        <w:t>lithiasis</w:t>
      </w:r>
      <w:proofErr w:type="spellEnd"/>
      <w:r w:rsidR="00AC5FFC" w:rsidRPr="00AC5FFC">
        <w:rPr>
          <w:bCs/>
        </w:rPr>
        <w:t>-associated changes including polyuria, acidic urinary pH, hyperuricosuria</w:t>
      </w:r>
      <w:r w:rsidR="00AC5FFC" w:rsidRPr="00AC5FFC">
        <w:t>,</w:t>
      </w:r>
      <w:r w:rsidR="00AC5FFC" w:rsidRPr="00AC5FFC">
        <w:rPr>
          <w:bCs/>
        </w:rPr>
        <w:t xml:space="preserve"> </w:t>
      </w:r>
      <w:r w:rsidR="00AC5FFC" w:rsidRPr="00AC5FFC">
        <w:t>hypomagnesaemia and hypercalcemia, and</w:t>
      </w:r>
      <w:r w:rsidR="00AC5FFC" w:rsidRPr="00AC5FFC">
        <w:rPr>
          <w:bCs/>
        </w:rPr>
        <w:t xml:space="preserve"> improving renal function tests (serum creatinine and BUN levels).</w:t>
      </w:r>
      <w:r w:rsidR="00AC5FFC">
        <w:rPr>
          <w:bCs/>
        </w:rPr>
        <w:t xml:space="preserve"> </w:t>
      </w:r>
      <w:r>
        <w:t xml:space="preserve">Conclusion &amp; Significance: </w:t>
      </w:r>
      <w:r w:rsidR="00AC5FFC" w:rsidRPr="00AC5FFC">
        <w:t xml:space="preserve">The data obtained from the current study justified the therapeutic importance of </w:t>
      </w:r>
      <w:r w:rsidR="00E61453">
        <w:t xml:space="preserve">coriander </w:t>
      </w:r>
      <w:r w:rsidR="00AC5FFC" w:rsidRPr="00AC5FFC">
        <w:t>leaves and seeds extract</w:t>
      </w:r>
      <w:r w:rsidR="00FF26D6">
        <w:t>s</w:t>
      </w:r>
      <w:r w:rsidR="00AC5FFC" w:rsidRPr="00AC5FFC">
        <w:t xml:space="preserve"> against </w:t>
      </w:r>
      <w:r w:rsidR="00FF26D6">
        <w:t>uro</w:t>
      </w:r>
      <w:r w:rsidR="00AC5FFC" w:rsidRPr="00AC5FFC">
        <w:t xml:space="preserve">lithiasis. However, further studies are required to explore the underlying mechanism(s) and to separate active compound(s) responsible for the antilithic effects of </w:t>
      </w:r>
      <w:r w:rsidR="00FF26D6">
        <w:t>the plant</w:t>
      </w:r>
      <w:r w:rsidR="00AC5FFC">
        <w:rPr>
          <w:i/>
        </w:rPr>
        <w:t>.</w:t>
      </w:r>
      <w:r>
        <w:br w:type="column"/>
      </w:r>
      <w:r>
        <w:rPr>
          <w:color w:val="BF5A14"/>
        </w:rPr>
        <w:t>Image</w:t>
      </w:r>
    </w:p>
    <w:p w:rsidR="00AE3E37" w:rsidRDefault="00220E19">
      <w:pPr>
        <w:pStyle w:val="BodyText"/>
        <w:spacing w:before="2"/>
        <w:rPr>
          <w:rFonts w:ascii="Arial"/>
          <w:b/>
          <w:sz w:val="16"/>
        </w:rPr>
      </w:pPr>
      <w:r>
        <w:rPr>
          <w:rFonts w:ascii="Arial"/>
          <w:b/>
          <w:noProof/>
          <w:sz w:val="16"/>
        </w:rPr>
        <w:drawing>
          <wp:inline distT="0" distB="0" distL="0" distR="0">
            <wp:extent cx="3162300" cy="2657475"/>
            <wp:effectExtent l="19050" t="0" r="0" b="0"/>
            <wp:docPr id="3" name="Picture 2" descr="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PNG"/>
                    <pic:cNvPicPr/>
                  </pic:nvPicPr>
                  <pic:blipFill>
                    <a:blip r:embed="rId9" cstate="print"/>
                    <a:stretch>
                      <a:fillRect/>
                    </a:stretch>
                  </pic:blipFill>
                  <pic:spPr>
                    <a:xfrm>
                      <a:off x="0" y="0"/>
                      <a:ext cx="3165475" cy="2660143"/>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77255E" w:rsidRPr="0077255E" w:rsidRDefault="0077255E" w:rsidP="005973B9">
      <w:pPr>
        <w:pStyle w:val="ListParagraph"/>
        <w:numPr>
          <w:ilvl w:val="0"/>
          <w:numId w:val="3"/>
        </w:numPr>
        <w:tabs>
          <w:tab w:val="left" w:pos="384"/>
        </w:tabs>
        <w:spacing w:line="216" w:lineRule="exact"/>
        <w:ind w:right="137" w:hanging="283"/>
        <w:rPr>
          <w:rFonts w:asciiTheme="minorHAnsi" w:hAnsiTheme="minorHAnsi"/>
          <w:sz w:val="18"/>
          <w:szCs w:val="18"/>
        </w:rPr>
      </w:pPr>
      <w:r w:rsidRPr="0077255E">
        <w:rPr>
          <w:rFonts w:asciiTheme="minorHAnsi" w:hAnsiTheme="minorHAnsi"/>
          <w:sz w:val="18"/>
          <w:szCs w:val="18"/>
        </w:rPr>
        <w:t xml:space="preserve">BASHIR, S. &amp; GILANI, A. H. 2011a. </w:t>
      </w:r>
      <w:proofErr w:type="spellStart"/>
      <w:r w:rsidRPr="0077255E">
        <w:rPr>
          <w:rFonts w:asciiTheme="minorHAnsi" w:hAnsiTheme="minorHAnsi"/>
          <w:sz w:val="18"/>
          <w:szCs w:val="18"/>
        </w:rPr>
        <w:t>Antiurolithic</w:t>
      </w:r>
      <w:proofErr w:type="spellEnd"/>
      <w:r w:rsidRPr="0077255E">
        <w:rPr>
          <w:rFonts w:asciiTheme="minorHAnsi" w:hAnsiTheme="minorHAnsi"/>
          <w:sz w:val="18"/>
          <w:szCs w:val="18"/>
        </w:rPr>
        <w:t xml:space="preserve"> effect of berberine is mediated through multiple pathways. </w:t>
      </w:r>
      <w:r w:rsidRPr="0077255E">
        <w:rPr>
          <w:rFonts w:asciiTheme="minorHAnsi" w:hAnsiTheme="minorHAnsi"/>
          <w:i/>
          <w:sz w:val="18"/>
          <w:szCs w:val="18"/>
        </w:rPr>
        <w:t>European Journal of Pharmacology,</w:t>
      </w:r>
      <w:r w:rsidRPr="0077255E">
        <w:rPr>
          <w:rFonts w:asciiTheme="minorHAnsi" w:hAnsiTheme="minorHAnsi"/>
          <w:sz w:val="18"/>
          <w:szCs w:val="18"/>
        </w:rPr>
        <w:t xml:space="preserve"> 651</w:t>
      </w:r>
      <w:r w:rsidRPr="0077255E">
        <w:rPr>
          <w:rFonts w:asciiTheme="minorHAnsi" w:hAnsiTheme="minorHAnsi"/>
          <w:b/>
          <w:sz w:val="18"/>
          <w:szCs w:val="18"/>
        </w:rPr>
        <w:t>,</w:t>
      </w:r>
      <w:r w:rsidRPr="0077255E">
        <w:rPr>
          <w:rFonts w:asciiTheme="minorHAnsi" w:hAnsiTheme="minorHAnsi"/>
          <w:sz w:val="18"/>
          <w:szCs w:val="18"/>
        </w:rPr>
        <w:t xml:space="preserve"> 168-175.</w:t>
      </w:r>
    </w:p>
    <w:p w:rsidR="0077255E" w:rsidRPr="0077255E" w:rsidRDefault="0077255E" w:rsidP="0077255E">
      <w:pPr>
        <w:pStyle w:val="EndNoteBibliography"/>
        <w:numPr>
          <w:ilvl w:val="0"/>
          <w:numId w:val="3"/>
        </w:numPr>
        <w:spacing w:after="0"/>
        <w:rPr>
          <w:rFonts w:asciiTheme="minorHAnsi" w:hAnsiTheme="minorHAnsi"/>
          <w:sz w:val="18"/>
          <w:szCs w:val="18"/>
        </w:rPr>
      </w:pPr>
      <w:bookmarkStart w:id="0" w:name="_ENREF_17"/>
      <w:r w:rsidRPr="0077255E">
        <w:rPr>
          <w:rFonts w:asciiTheme="minorHAnsi" w:hAnsiTheme="minorHAnsi"/>
          <w:sz w:val="18"/>
          <w:szCs w:val="18"/>
        </w:rPr>
        <w:t xml:space="preserve">JABEEN, Q., BASHIR, S., LYOUSSI, B. &amp; GILANI, A. H. 2009. Coriander fruit exhibits gut modulatory, blood pressure lowering and diuretic activities. </w:t>
      </w:r>
      <w:r w:rsidRPr="0077255E">
        <w:rPr>
          <w:rFonts w:asciiTheme="minorHAnsi" w:hAnsiTheme="minorHAnsi"/>
          <w:i/>
          <w:sz w:val="18"/>
          <w:szCs w:val="18"/>
        </w:rPr>
        <w:t>Journal of Ethnopharmacology,</w:t>
      </w:r>
      <w:r w:rsidRPr="0077255E">
        <w:rPr>
          <w:rFonts w:asciiTheme="minorHAnsi" w:hAnsiTheme="minorHAnsi"/>
          <w:sz w:val="18"/>
          <w:szCs w:val="18"/>
        </w:rPr>
        <w:t xml:space="preserve"> 122</w:t>
      </w:r>
      <w:r w:rsidRPr="0077255E">
        <w:rPr>
          <w:rFonts w:asciiTheme="minorHAnsi" w:hAnsiTheme="minorHAnsi"/>
          <w:b/>
          <w:sz w:val="18"/>
          <w:szCs w:val="18"/>
        </w:rPr>
        <w:t>,</w:t>
      </w:r>
      <w:r w:rsidRPr="0077255E">
        <w:rPr>
          <w:rFonts w:asciiTheme="minorHAnsi" w:hAnsiTheme="minorHAnsi"/>
          <w:sz w:val="18"/>
          <w:szCs w:val="18"/>
        </w:rPr>
        <w:t xml:space="preserve"> 123-130.</w:t>
      </w:r>
      <w:bookmarkEnd w:id="0"/>
    </w:p>
    <w:p w:rsidR="005973B9" w:rsidRPr="0077255E" w:rsidRDefault="0077255E" w:rsidP="005973B9">
      <w:pPr>
        <w:pStyle w:val="ListParagraph"/>
        <w:numPr>
          <w:ilvl w:val="0"/>
          <w:numId w:val="3"/>
        </w:numPr>
        <w:tabs>
          <w:tab w:val="left" w:pos="384"/>
        </w:tabs>
        <w:spacing w:line="216" w:lineRule="exact"/>
        <w:ind w:right="138" w:hanging="283"/>
        <w:rPr>
          <w:rFonts w:asciiTheme="minorHAnsi" w:hAnsiTheme="minorHAnsi"/>
          <w:sz w:val="18"/>
          <w:szCs w:val="18"/>
        </w:rPr>
      </w:pPr>
      <w:r w:rsidRPr="0077255E">
        <w:rPr>
          <w:rFonts w:asciiTheme="minorHAnsi" w:hAnsiTheme="minorHAnsi"/>
          <w:sz w:val="18"/>
          <w:szCs w:val="18"/>
        </w:rPr>
        <w:t xml:space="preserve">SCALES JR, C. D., SMITH, A. C., HANLEY, J. M. &amp; SAIGAL, C. S. 2012. Prevalence of Kidney Stones in the United States. </w:t>
      </w:r>
      <w:r w:rsidRPr="0077255E">
        <w:rPr>
          <w:rFonts w:asciiTheme="minorHAnsi" w:hAnsiTheme="minorHAnsi"/>
          <w:i/>
          <w:sz w:val="18"/>
          <w:szCs w:val="18"/>
        </w:rPr>
        <w:t>European Urology,</w:t>
      </w:r>
      <w:r w:rsidRPr="0077255E">
        <w:rPr>
          <w:rFonts w:asciiTheme="minorHAnsi" w:hAnsiTheme="minorHAnsi"/>
          <w:sz w:val="18"/>
          <w:szCs w:val="18"/>
        </w:rPr>
        <w:t xml:space="preserve"> 62</w:t>
      </w:r>
      <w:r w:rsidRPr="0077255E">
        <w:rPr>
          <w:rFonts w:asciiTheme="minorHAnsi" w:hAnsiTheme="minorHAnsi"/>
          <w:b/>
          <w:sz w:val="18"/>
          <w:szCs w:val="18"/>
        </w:rPr>
        <w:t>,</w:t>
      </w:r>
      <w:r w:rsidRPr="0077255E">
        <w:rPr>
          <w:rFonts w:asciiTheme="minorHAnsi" w:hAnsiTheme="minorHAnsi"/>
          <w:sz w:val="18"/>
          <w:szCs w:val="18"/>
        </w:rPr>
        <w:t xml:space="preserve"> 160-165</w:t>
      </w:r>
      <w:r w:rsidR="005973B9" w:rsidRPr="0077255E">
        <w:rPr>
          <w:rFonts w:asciiTheme="minorHAnsi" w:hAnsiTheme="minorHAnsi"/>
          <w:sz w:val="18"/>
          <w:szCs w:val="18"/>
        </w:rPr>
        <w:t>.</w:t>
      </w:r>
    </w:p>
    <w:p w:rsidR="00AE3E37" w:rsidRDefault="0077255E" w:rsidP="0077255E">
      <w:pPr>
        <w:pStyle w:val="ListParagraph"/>
        <w:numPr>
          <w:ilvl w:val="0"/>
          <w:numId w:val="3"/>
        </w:numPr>
        <w:tabs>
          <w:tab w:val="left" w:pos="384"/>
        </w:tabs>
        <w:spacing w:line="216" w:lineRule="exact"/>
        <w:ind w:right="138" w:hanging="283"/>
        <w:rPr>
          <w:rFonts w:asciiTheme="minorHAnsi" w:hAnsiTheme="minorHAnsi"/>
          <w:sz w:val="18"/>
          <w:szCs w:val="18"/>
        </w:rPr>
      </w:pPr>
      <w:r w:rsidRPr="0077255E">
        <w:rPr>
          <w:rFonts w:asciiTheme="minorHAnsi" w:hAnsiTheme="minorHAnsi"/>
          <w:sz w:val="18"/>
          <w:szCs w:val="18"/>
        </w:rPr>
        <w:t xml:space="preserve">YADAV, R. D., JAIN, S., ALOK, S., MAHOR, A., BHARTI, J. P. &amp; JAISWAL, M. 2011. Herbal plants used in the treatment of urolithiasis: a review. </w:t>
      </w:r>
      <w:r w:rsidRPr="0077255E">
        <w:rPr>
          <w:rFonts w:asciiTheme="minorHAnsi" w:hAnsiTheme="minorHAnsi"/>
          <w:i/>
          <w:sz w:val="18"/>
          <w:szCs w:val="18"/>
        </w:rPr>
        <w:t>International Journal of Pharmaceutical Sciences and Research,</w:t>
      </w:r>
      <w:r w:rsidRPr="0077255E">
        <w:rPr>
          <w:rFonts w:asciiTheme="minorHAnsi" w:hAnsiTheme="minorHAnsi"/>
          <w:sz w:val="18"/>
          <w:szCs w:val="18"/>
        </w:rPr>
        <w:t xml:space="preserve"> 2</w:t>
      </w:r>
      <w:r w:rsidRPr="0077255E">
        <w:rPr>
          <w:rFonts w:asciiTheme="minorHAnsi" w:hAnsiTheme="minorHAnsi"/>
          <w:b/>
          <w:sz w:val="18"/>
          <w:szCs w:val="18"/>
        </w:rPr>
        <w:t>,</w:t>
      </w:r>
      <w:r w:rsidRPr="0077255E">
        <w:rPr>
          <w:rFonts w:asciiTheme="minorHAnsi" w:hAnsiTheme="minorHAnsi"/>
          <w:sz w:val="18"/>
          <w:szCs w:val="18"/>
        </w:rPr>
        <w:t xml:space="preserve"> 1412-20</w:t>
      </w:r>
      <w:r w:rsidR="0076320D">
        <w:rPr>
          <w:rFonts w:asciiTheme="minorHAnsi" w:hAnsiTheme="minorHAnsi"/>
          <w:sz w:val="18"/>
          <w:szCs w:val="18"/>
        </w:rPr>
        <w:t>.</w:t>
      </w:r>
    </w:p>
    <w:p w:rsidR="0077255E" w:rsidRPr="0077255E" w:rsidRDefault="0077255E" w:rsidP="0077255E">
      <w:pPr>
        <w:pStyle w:val="EndNoteBibliography"/>
        <w:numPr>
          <w:ilvl w:val="0"/>
          <w:numId w:val="3"/>
        </w:numPr>
        <w:spacing w:after="0"/>
        <w:rPr>
          <w:rFonts w:asciiTheme="minorHAnsi" w:hAnsiTheme="minorHAnsi"/>
          <w:sz w:val="18"/>
          <w:szCs w:val="18"/>
        </w:rPr>
      </w:pPr>
      <w:bookmarkStart w:id="1" w:name="_ENREF_15"/>
      <w:r w:rsidRPr="0077255E">
        <w:rPr>
          <w:rFonts w:asciiTheme="minorHAnsi" w:hAnsiTheme="minorHAnsi"/>
          <w:sz w:val="18"/>
          <w:szCs w:val="18"/>
        </w:rPr>
        <w:t xml:space="preserve">GILHOTRA, L. U. &amp; CHRISTINA, A. J. M. 2011. Effect of Rotula aquatica Lour. on ethylene-glycol induced urolithiasis in rats. </w:t>
      </w:r>
      <w:r w:rsidRPr="0077255E">
        <w:rPr>
          <w:rFonts w:asciiTheme="minorHAnsi" w:hAnsiTheme="minorHAnsi"/>
          <w:i/>
          <w:sz w:val="18"/>
          <w:szCs w:val="18"/>
        </w:rPr>
        <w:t>International Journal of Drug Development &amp; Research,</w:t>
      </w:r>
      <w:r w:rsidRPr="0077255E">
        <w:rPr>
          <w:rFonts w:asciiTheme="minorHAnsi" w:hAnsiTheme="minorHAnsi"/>
          <w:sz w:val="18"/>
          <w:szCs w:val="18"/>
        </w:rPr>
        <w:t xml:space="preserve"> 3</w:t>
      </w:r>
      <w:r w:rsidRPr="0077255E">
        <w:rPr>
          <w:rFonts w:asciiTheme="minorHAnsi" w:hAnsiTheme="minorHAnsi"/>
          <w:b/>
          <w:sz w:val="18"/>
          <w:szCs w:val="18"/>
        </w:rPr>
        <w:t>,</w:t>
      </w:r>
      <w:r w:rsidRPr="0077255E">
        <w:rPr>
          <w:rFonts w:asciiTheme="minorHAnsi" w:hAnsiTheme="minorHAnsi"/>
          <w:sz w:val="18"/>
          <w:szCs w:val="18"/>
        </w:rPr>
        <w:t xml:space="preserve"> 273-280.</w:t>
      </w:r>
      <w:bookmarkEnd w:id="1"/>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1C36F3">
      <w:pPr>
        <w:pStyle w:val="BodyText"/>
        <w:spacing w:line="40" w:lineRule="exact"/>
        <w:ind w:left="2202"/>
        <w:rPr>
          <w:rFonts w:ascii="Calibri"/>
          <w:sz w:val="4"/>
        </w:rPr>
      </w:pPr>
      <w:r>
        <w:rPr>
          <w:noProof/>
        </w:rPr>
        <w:drawing>
          <wp:anchor distT="0" distB="0" distL="114300" distR="114300" simplePos="0" relativeHeight="251659264" behindDoc="1" locked="0" layoutInCell="1" allowOverlap="1" wp14:anchorId="42656AE7" wp14:editId="47C2F590">
            <wp:simplePos x="0" y="0"/>
            <wp:positionH relativeFrom="margin">
              <wp:posOffset>536575</wp:posOffset>
            </wp:positionH>
            <wp:positionV relativeFrom="paragraph">
              <wp:posOffset>81915</wp:posOffset>
            </wp:positionV>
            <wp:extent cx="535305" cy="609600"/>
            <wp:effectExtent l="0" t="0" r="0" b="0"/>
            <wp:wrapTight wrapText="bothSides">
              <wp:wrapPolygon edited="0">
                <wp:start x="0" y="0"/>
                <wp:lineTo x="0" y="20925"/>
                <wp:lineTo x="20754" y="20925"/>
                <wp:lineTo x="20754" y="0"/>
                <wp:lineTo x="0" y="0"/>
              </wp:wrapPolygon>
            </wp:wrapTight>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5305" cy="609600"/>
                    </a:xfrm>
                    <a:prstGeom prst="rect">
                      <a:avLst/>
                    </a:prstGeom>
                    <a:noFill/>
                  </pic:spPr>
                </pic:pic>
              </a:graphicData>
            </a:graphic>
            <wp14:sizeRelH relativeFrom="page">
              <wp14:pctWidth>0</wp14:pctWidth>
            </wp14:sizeRelH>
            <wp14:sizeRelV relativeFrom="page">
              <wp14:pctHeight>0</wp14:pctHeight>
            </wp14:sizeRelV>
          </wp:anchor>
        </w:drawing>
      </w:r>
      <w:r w:rsidR="005D6743">
        <w:rPr>
          <w:rFonts w:ascii="Calibri"/>
          <w:noProof/>
          <w:sz w:val="4"/>
        </w:rPr>
        <mc:AlternateContent>
          <mc:Choice Requires="wpg">
            <w:drawing>
              <wp:inline distT="0" distB="0" distL="0" distR="0">
                <wp:extent cx="3975735" cy="25400"/>
                <wp:effectExtent l="1270" t="5715" r="4445" b="6985"/>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2"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81848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If5X2N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" strokecolor="#004080" strokeweight="2pt"/>
                <w10:anchorlock/>
              </v:group>
            </w:pict>
          </mc:Fallback>
        </mc:AlternateContent>
      </w:r>
    </w:p>
    <w:p w:rsidR="001C36F3" w:rsidRDefault="008756E6" w:rsidP="00404E5B">
      <w:pPr>
        <w:spacing w:before="92"/>
        <w:ind w:right="4234"/>
        <w:rPr>
          <w:noProof/>
        </w:rPr>
      </w:pPr>
      <w:r>
        <w:rPr>
          <w:noProof/>
        </w:rPr>
        <w:t xml:space="preserve">              </w:t>
      </w:r>
    </w:p>
    <w:p w:rsidR="001C36F3" w:rsidRDefault="001C36F3" w:rsidP="00404E5B">
      <w:pPr>
        <w:spacing w:before="92"/>
        <w:ind w:right="4234"/>
        <w:rPr>
          <w:rFonts w:ascii="Arial"/>
          <w:color w:val="BF5A14"/>
        </w:rPr>
      </w:pPr>
    </w:p>
    <w:p w:rsidR="001C36F3" w:rsidRDefault="001C36F3" w:rsidP="00404E5B">
      <w:pPr>
        <w:spacing w:before="92"/>
        <w:ind w:right="4234"/>
        <w:rPr>
          <w:rFonts w:ascii="Arial"/>
          <w:color w:val="BF5A14"/>
        </w:rPr>
      </w:pPr>
    </w:p>
    <w:p w:rsidR="00AE3E37" w:rsidRDefault="00A9710C" w:rsidP="00404E5B">
      <w:pPr>
        <w:spacing w:before="92"/>
        <w:ind w:right="4234"/>
        <w:rPr>
          <w:rFonts w:ascii="Arial"/>
        </w:rPr>
      </w:pPr>
      <w:bookmarkStart w:id="2" w:name="_GoBack"/>
      <w:bookmarkEnd w:id="2"/>
      <w:r>
        <w:rPr>
          <w:rFonts w:ascii="Arial"/>
          <w:color w:val="BF5A14"/>
        </w:rPr>
        <w:t>Biography</w:t>
      </w:r>
      <w:r w:rsidR="00404E5B">
        <w:rPr>
          <w:rFonts w:ascii="Arial"/>
          <w:color w:val="BF5A14"/>
        </w:rPr>
        <w:t xml:space="preserve"> (150 word limit)</w:t>
      </w:r>
    </w:p>
    <w:p w:rsidR="001C36F3" w:rsidRPr="001C36F3" w:rsidRDefault="001C36F3" w:rsidP="001C36F3">
      <w:pPr>
        <w:spacing w:line="276" w:lineRule="auto"/>
        <w:jc w:val="both"/>
        <w:rPr>
          <w:rFonts w:ascii="Arial" w:hAnsi="Arial" w:cs="Arial"/>
          <w:sz w:val="14"/>
          <w:szCs w:val="14"/>
        </w:rPr>
      </w:pPr>
      <w:r w:rsidRPr="001C36F3">
        <w:rPr>
          <w:rFonts w:ascii="Arial" w:hAnsi="Arial" w:cs="Arial"/>
          <w:sz w:val="14"/>
          <w:szCs w:val="14"/>
        </w:rPr>
        <w:t xml:space="preserve">Dr. Qaiser Jabeen is Associate Professor in the Department of Pharmacy at the Faculty of Pharmacy &amp; Alternative Medicine, the </w:t>
      </w:r>
      <w:proofErr w:type="spellStart"/>
      <w:r w:rsidRPr="001C36F3">
        <w:rPr>
          <w:rFonts w:ascii="Arial" w:hAnsi="Arial" w:cs="Arial"/>
          <w:sz w:val="14"/>
          <w:szCs w:val="14"/>
        </w:rPr>
        <w:t>Islamia</w:t>
      </w:r>
      <w:proofErr w:type="spellEnd"/>
      <w:r w:rsidRPr="001C36F3">
        <w:rPr>
          <w:rFonts w:ascii="Arial" w:hAnsi="Arial" w:cs="Arial"/>
          <w:sz w:val="14"/>
          <w:szCs w:val="14"/>
        </w:rPr>
        <w:t xml:space="preserve"> University of Bahawalpur, Pakistan. She has completed her Pharmacy graduation, and then M.Phil. and Ph.D. in Pharmacology from Pakistan and Post doc from France. She has a vast multidimensional research experience in in-vivo, ex-vivo and in-vitro studies. Till today, she has supervised many research students at Masters and Doctorate level. She has a good number of research publications on her credit.</w:t>
      </w:r>
    </w:p>
    <w:p w:rsidR="001C36F3" w:rsidRDefault="001C36F3" w:rsidP="001C36F3">
      <w:pPr>
        <w:spacing w:line="276" w:lineRule="auto"/>
        <w:jc w:val="both"/>
        <w:rPr>
          <w:rFonts w:ascii="Arial" w:hAnsi="Arial" w:cs="Arial"/>
          <w:sz w:val="14"/>
          <w:szCs w:val="14"/>
        </w:rPr>
      </w:pPr>
    </w:p>
    <w:p w:rsidR="001C36F3" w:rsidRPr="001C36F3" w:rsidRDefault="001C36F3" w:rsidP="001C36F3">
      <w:pPr>
        <w:spacing w:line="276" w:lineRule="auto"/>
        <w:jc w:val="center"/>
        <w:rPr>
          <w:rFonts w:ascii="Arial" w:hAnsi="Arial" w:cs="Arial"/>
          <w:sz w:val="14"/>
          <w:szCs w:val="14"/>
        </w:rPr>
      </w:pPr>
      <w:r w:rsidRPr="001C36F3">
        <w:rPr>
          <w:rFonts w:ascii="Arial" w:hAnsi="Arial" w:cs="Arial"/>
          <w:sz w:val="14"/>
          <w:szCs w:val="14"/>
        </w:rPr>
        <w:t xml:space="preserve">E-mail: </w:t>
      </w:r>
      <w:hyperlink r:id="rId11" w:history="1">
        <w:r w:rsidRPr="001C36F3">
          <w:rPr>
            <w:rStyle w:val="Hyperlink"/>
            <w:rFonts w:ascii="Arial" w:hAnsi="Arial" w:cs="Arial"/>
            <w:sz w:val="14"/>
            <w:szCs w:val="14"/>
          </w:rPr>
          <w:t>qaiser.jabeen@iub.edu.pk</w:t>
        </w:r>
      </w:hyperlink>
      <w:r w:rsidRPr="001C36F3">
        <w:rPr>
          <w:rFonts w:ascii="Arial" w:hAnsi="Arial" w:cs="Arial"/>
          <w:sz w:val="14"/>
          <w:szCs w:val="14"/>
        </w:rPr>
        <w:t xml:space="preserve">; </w:t>
      </w:r>
      <w:hyperlink r:id="rId12" w:history="1">
        <w:r w:rsidRPr="001C36F3">
          <w:rPr>
            <w:rStyle w:val="Hyperlink"/>
            <w:rFonts w:ascii="Arial" w:hAnsi="Arial" w:cs="Arial"/>
            <w:sz w:val="14"/>
            <w:szCs w:val="14"/>
          </w:rPr>
          <w:t>jabeenqaiser@hotmail.com</w:t>
        </w:r>
      </w:hyperlink>
    </w:p>
    <w:p w:rsidR="00AE3E37" w:rsidRDefault="005D6743" w:rsidP="001C36F3">
      <w:pPr>
        <w:spacing w:before="62"/>
        <w:ind w:right="4235"/>
        <w:rPr>
          <w:rFonts w:ascii="Minion Pro"/>
          <w:sz w:val="24"/>
        </w:rPr>
        <w:sectPr w:rsidR="00AE3E37">
          <w:type w:val="continuous"/>
          <w:pgSz w:w="11910" w:h="16840"/>
          <w:pgMar w:top="1740" w:right="600" w:bottom="840" w:left="620" w:header="720" w:footer="720" w:gutter="0"/>
          <w:cols w:space="720"/>
        </w:sectPr>
      </w:pPr>
      <w:r>
        <w:rPr>
          <w:noProof/>
          <w:sz w:val="18"/>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4BAC78"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4B17" w:rsidRDefault="00E74B17">
      <w:r>
        <w:separator/>
      </w:r>
    </w:p>
  </w:endnote>
  <w:endnote w:type="continuationSeparator" w:id="0">
    <w:p w:rsidR="00E74B17" w:rsidRDefault="00E74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5D6743">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4B17" w:rsidRDefault="00E74B17">
      <w:r>
        <w:separator/>
      </w:r>
    </w:p>
  </w:footnote>
  <w:footnote w:type="continuationSeparator" w:id="0">
    <w:p w:rsidR="00E74B17" w:rsidRDefault="00E74B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5D6743">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D4AC0"/>
    <w:rsid w:val="000E2911"/>
    <w:rsid w:val="001263DF"/>
    <w:rsid w:val="001A1B90"/>
    <w:rsid w:val="001C36F3"/>
    <w:rsid w:val="00220E19"/>
    <w:rsid w:val="00292ED9"/>
    <w:rsid w:val="0038268F"/>
    <w:rsid w:val="003E75ED"/>
    <w:rsid w:val="00404E5B"/>
    <w:rsid w:val="00414F7B"/>
    <w:rsid w:val="004355DC"/>
    <w:rsid w:val="004749B4"/>
    <w:rsid w:val="00494130"/>
    <w:rsid w:val="004F3523"/>
    <w:rsid w:val="005010B5"/>
    <w:rsid w:val="005973B9"/>
    <w:rsid w:val="005B3A56"/>
    <w:rsid w:val="005D6743"/>
    <w:rsid w:val="006060CE"/>
    <w:rsid w:val="0063497F"/>
    <w:rsid w:val="00683AF7"/>
    <w:rsid w:val="00702E61"/>
    <w:rsid w:val="0076320D"/>
    <w:rsid w:val="0077255E"/>
    <w:rsid w:val="00873DF0"/>
    <w:rsid w:val="008756E6"/>
    <w:rsid w:val="0091048A"/>
    <w:rsid w:val="009B2D44"/>
    <w:rsid w:val="00A07E82"/>
    <w:rsid w:val="00A9710C"/>
    <w:rsid w:val="00AB3DA2"/>
    <w:rsid w:val="00AC5FFC"/>
    <w:rsid w:val="00AE3E37"/>
    <w:rsid w:val="00B21A57"/>
    <w:rsid w:val="00C27DEC"/>
    <w:rsid w:val="00C33602"/>
    <w:rsid w:val="00C41F6E"/>
    <w:rsid w:val="00CA489D"/>
    <w:rsid w:val="00CD6F55"/>
    <w:rsid w:val="00DE3104"/>
    <w:rsid w:val="00E332CB"/>
    <w:rsid w:val="00E55CC1"/>
    <w:rsid w:val="00E61453"/>
    <w:rsid w:val="00E664C6"/>
    <w:rsid w:val="00E74B17"/>
    <w:rsid w:val="00F72EEA"/>
    <w:rsid w:val="00F84CAE"/>
    <w:rsid w:val="00FF26D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57CB5"/>
  <w15:docId w15:val="{36BC0045-1B8F-44F4-88BF-0CA7A90BC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77255E"/>
    <w:pPr>
      <w:widowControl/>
      <w:spacing w:after="160"/>
      <w:jc w:val="both"/>
    </w:pPr>
    <w:rPr>
      <w:rFonts w:ascii="Times New Roman" w:eastAsiaTheme="minorHAnsi" w:hAnsi="Times New Roman" w:cs="Times New Roman"/>
      <w:noProof/>
      <w:sz w:val="24"/>
    </w:rPr>
  </w:style>
  <w:style w:type="character" w:customStyle="1" w:styleId="EndNoteBibliographyChar">
    <w:name w:val="EndNote Bibliography Char"/>
    <w:basedOn w:val="DefaultParagraphFont"/>
    <w:link w:val="EndNoteBibliography"/>
    <w:rsid w:val="0077255E"/>
    <w:rPr>
      <w:rFonts w:ascii="Times New Roman" w:hAnsi="Times New Roman" w:cs="Times New Roman"/>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6615967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jabeenqaiser@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qaiser.jabeen@iub.edu.p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Qaiser Jabeen</cp:lastModifiedBy>
  <cp:revision>4</cp:revision>
  <dcterms:created xsi:type="dcterms:W3CDTF">2017-11-21T17:40:00Z</dcterms:created>
  <dcterms:modified xsi:type="dcterms:W3CDTF">2017-11-21T21:03:00Z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