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E4" w:rsidRDefault="00A431E4" w:rsidP="00A431E4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365F92"/>
          <w:sz w:val="40"/>
          <w:szCs w:val="40"/>
        </w:rPr>
      </w:pPr>
      <w:proofErr w:type="spellStart"/>
      <w:r>
        <w:rPr>
          <w:rFonts w:ascii="BookmanOldStyle-Bold" w:hAnsi="BookmanOldStyle-Bold" w:cs="BookmanOldStyle-Bold"/>
          <w:b/>
          <w:bCs/>
          <w:color w:val="365F92"/>
          <w:sz w:val="40"/>
          <w:szCs w:val="40"/>
        </w:rPr>
        <w:t>Gastroretentive</w:t>
      </w:r>
      <w:proofErr w:type="spellEnd"/>
      <w:r>
        <w:rPr>
          <w:rFonts w:ascii="BookmanOldStyle-Bold" w:hAnsi="BookmanOldStyle-Bold" w:cs="BookmanOldStyle-Bold"/>
          <w:b/>
          <w:bCs/>
          <w:color w:val="365F92"/>
          <w:sz w:val="40"/>
          <w:szCs w:val="40"/>
        </w:rPr>
        <w:t xml:space="preserve"> Controlled Release </w:t>
      </w:r>
      <w:proofErr w:type="spellStart"/>
      <w:r>
        <w:rPr>
          <w:rFonts w:ascii="BookmanOldStyle-Bold" w:hAnsi="BookmanOldStyle-Bold" w:cs="BookmanOldStyle-Bold"/>
          <w:b/>
          <w:bCs/>
          <w:color w:val="365F92"/>
          <w:sz w:val="40"/>
          <w:szCs w:val="40"/>
        </w:rPr>
        <w:t>Glibenclamide</w:t>
      </w:r>
      <w:proofErr w:type="spellEnd"/>
    </w:p>
    <w:p w:rsidR="00A431E4" w:rsidRDefault="00A431E4" w:rsidP="00A431E4">
      <w:pPr>
        <w:autoSpaceDE w:val="0"/>
        <w:autoSpaceDN w:val="0"/>
        <w:adjustRightInd w:val="0"/>
        <w:spacing w:after="0" w:line="240" w:lineRule="auto"/>
        <w:rPr>
          <w:rFonts w:ascii="BookmanOldStyle-Bold" w:hAnsi="BookmanOldStyle-Bold" w:cs="BookmanOldStyle-Bold"/>
          <w:b/>
          <w:bCs/>
          <w:color w:val="365F92"/>
          <w:sz w:val="40"/>
          <w:szCs w:val="40"/>
        </w:rPr>
      </w:pPr>
      <w:proofErr w:type="gramStart"/>
      <w:r>
        <w:rPr>
          <w:rFonts w:ascii="BookmanOldStyle-Bold" w:hAnsi="BookmanOldStyle-Bold" w:cs="BookmanOldStyle-Bold"/>
          <w:b/>
          <w:bCs/>
          <w:color w:val="365F92"/>
          <w:sz w:val="40"/>
          <w:szCs w:val="40"/>
        </w:rPr>
        <w:t>Oral Tablet Formulation.</w:t>
      </w:r>
      <w:proofErr w:type="gramEnd"/>
    </w:p>
    <w:p w:rsidR="00A431E4" w:rsidRDefault="00A431E4" w:rsidP="00A431E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365F93"/>
          <w:sz w:val="24"/>
          <w:szCs w:val="24"/>
        </w:rPr>
      </w:pPr>
    </w:p>
    <w:p w:rsidR="00091750" w:rsidRPr="0053398F" w:rsidRDefault="00091750" w:rsidP="0009175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365F93"/>
          <w:sz w:val="24"/>
          <w:szCs w:val="24"/>
          <w:u w:val="single"/>
        </w:rPr>
      </w:pPr>
      <w:r w:rsidRPr="0053398F">
        <w:rPr>
          <w:rFonts w:ascii="TimesNewRomanPS-BoldMT" w:hAnsi="TimesNewRomanPS-BoldMT" w:cs="TimesNewRomanPS-BoldMT"/>
          <w:b/>
          <w:bCs/>
          <w:color w:val="365F93"/>
          <w:sz w:val="24"/>
          <w:szCs w:val="24"/>
          <w:u w:val="single"/>
        </w:rPr>
        <w:t>ABSTRACT</w:t>
      </w:r>
      <w:r w:rsidR="00A431E4" w:rsidRPr="0053398F">
        <w:rPr>
          <w:rFonts w:ascii="TimesNewRomanPS-BoldMT" w:hAnsi="TimesNewRomanPS-BoldMT" w:cs="TimesNewRomanPS-BoldMT"/>
          <w:b/>
          <w:bCs/>
          <w:color w:val="365F93"/>
          <w:sz w:val="24"/>
          <w:szCs w:val="24"/>
          <w:u w:val="single"/>
        </w:rPr>
        <w:t>.</w:t>
      </w:r>
    </w:p>
    <w:p w:rsidR="00A431E4" w:rsidRPr="00A431E4" w:rsidRDefault="00A431E4" w:rsidP="00091750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365F93"/>
          <w:sz w:val="24"/>
          <w:szCs w:val="24"/>
        </w:rPr>
      </w:pP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Hydroxypropyl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methylcellulose (HPMC-4000cps, fixed amount), various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contents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of calcium hydroxide,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stearyl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alcohol, magnesium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stearate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,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different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drug: PVP ratios and altered tablet hardness were used to design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floating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tablet formulation capable to deliver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glibenclamide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in a sustained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manner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. Both full factorial and Box-Wilson designs, in consecutive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manner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, were used to investigate for the influences of these formulation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variables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on the developed dosage form performance and drug release.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Tablet hardness has revealed an influential effect on tablet onset of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floating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, and drug release was shown to be more evident in the initial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phase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(p&lt;0.05). Loading level of calcium hydroxide,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stearyl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alcohol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and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tablet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swellability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all have showed profound enhancing effects on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duration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of tablet buoyancy and drug release.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Glibenclamide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release from tablets of the invention was shown to follow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the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anomalous type (n=0.8212-1.0244). Application of statistical and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mathematical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modeling has enabled the optimization of the developed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tablet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formulation to meet selective constraints for floating, hardness and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drug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release.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The optimized buoyant tablet formulation with highest CI revealed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hardness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of 50 N, immediate onset of floating and floating duration &gt;6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hours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. Concerning drug release, the formula showed evidence of 25 and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84% drug release after 1 and 6 hours, respectively, with T50% of 3 hours.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Moreover, release kinetics of the drug from the optimized formula was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shown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to be near the desired zero order type of release (n=0.8897 or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0.0132; r2=0.9993). The </w:t>
      </w:r>
      <w:r w:rsidRPr="00A431E4">
        <w:rPr>
          <w:rFonts w:ascii="Cambria" w:hAnsi="Cambria" w:cs="TimesNewRomanPS-ItalicMT"/>
          <w:i/>
          <w:iCs/>
          <w:color w:val="000000"/>
          <w:sz w:val="24"/>
          <w:szCs w:val="24"/>
        </w:rPr>
        <w:t xml:space="preserve">in vivo </w:t>
      </w: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dosage form residence time study in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six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human subjects demonstrated that the developed tablet formulation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retained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in the stomach for more than four hours under fasting conditions.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Comparative bioavailability study revealed that floating tablets showed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2-2.5 times increase in AUC (p≤ 0.1) indicating the sustained release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tendency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of the drug from the floating tablet formulation.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The three months based stability study indicated that the drug and the</w:t>
      </w:r>
    </w:p>
    <w:p w:rsidR="00091750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dosage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form retained their initial physical characters in both accelerated</w:t>
      </w:r>
    </w:p>
    <w:p w:rsidR="00091750" w:rsidRPr="00A431E4" w:rsidRDefault="00091750" w:rsidP="00F0545C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proofErr w:type="gram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and</w:t>
      </w:r>
      <w:proofErr w:type="gram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normal conditions for the test duration as far as blister pack is</w:t>
      </w:r>
      <w:r w:rsidR="00F0545C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 </w:t>
      </w: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considered.</w:t>
      </w:r>
    </w:p>
    <w:p w:rsidR="00A431E4" w:rsidRPr="00A431E4" w:rsidRDefault="00A431E4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</w:p>
    <w:p w:rsidR="00C73F7E" w:rsidRPr="00A431E4" w:rsidRDefault="00091750" w:rsidP="00091750">
      <w:pPr>
        <w:autoSpaceDE w:val="0"/>
        <w:autoSpaceDN w:val="0"/>
        <w:adjustRightInd w:val="0"/>
        <w:spacing w:after="0" w:line="240" w:lineRule="auto"/>
        <w:rPr>
          <w:rFonts w:ascii="Cambria" w:eastAsia="TimesNewRomanPSMT" w:hAnsi="Cambria" w:cs="TimesNewRomanPSMT"/>
          <w:color w:val="000000"/>
          <w:sz w:val="24"/>
          <w:szCs w:val="24"/>
        </w:rPr>
      </w:pPr>
      <w:r w:rsidRPr="00A431E4">
        <w:rPr>
          <w:rFonts w:ascii="Cambria" w:hAnsi="Cambria" w:cs="TimesNewRomanPS-BoldMT"/>
          <w:b/>
          <w:bCs/>
          <w:color w:val="000000"/>
          <w:sz w:val="24"/>
          <w:szCs w:val="24"/>
        </w:rPr>
        <w:t xml:space="preserve">Keywords:   </w:t>
      </w:r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Sustained release, Buoyancy, Hardness,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Glibenclamide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 xml:space="preserve">, </w:t>
      </w:r>
      <w:proofErr w:type="spellStart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Swellability</w:t>
      </w:r>
      <w:proofErr w:type="spellEnd"/>
      <w:r w:rsidRPr="00A431E4">
        <w:rPr>
          <w:rFonts w:ascii="Cambria" w:eastAsia="TimesNewRomanPSMT" w:hAnsi="Cambria" w:cs="TimesNewRomanPSMT"/>
          <w:color w:val="000000"/>
          <w:sz w:val="24"/>
          <w:szCs w:val="24"/>
        </w:rPr>
        <w:t>.</w:t>
      </w:r>
    </w:p>
    <w:sectPr w:rsidR="00C73F7E" w:rsidRPr="00A431E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OldStyle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91750"/>
    <w:rsid w:val="00091750"/>
    <w:rsid w:val="0053398F"/>
    <w:rsid w:val="00A431E4"/>
    <w:rsid w:val="00C73F7E"/>
    <w:rsid w:val="00F05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Suad</dc:creator>
  <cp:keywords/>
  <dc:description/>
  <cp:lastModifiedBy>Dr Suad</cp:lastModifiedBy>
  <cp:revision>6</cp:revision>
  <dcterms:created xsi:type="dcterms:W3CDTF">2018-02-05T07:14:00Z</dcterms:created>
  <dcterms:modified xsi:type="dcterms:W3CDTF">2018-02-05T07:50:00Z</dcterms:modified>
</cp:coreProperties>
</file>