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8A" w:rsidRPr="009E061D" w:rsidRDefault="00AD4592" w:rsidP="00CD108A">
      <w:pPr>
        <w:shd w:val="clear" w:color="auto" w:fill="FBFBFB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E061D">
        <w:rPr>
          <w:rFonts w:ascii="Arial" w:hAnsi="Arial" w:cs="Arial"/>
          <w:b/>
          <w:sz w:val="24"/>
          <w:szCs w:val="24"/>
        </w:rPr>
        <w:t>Drug</w:t>
      </w:r>
      <w:r w:rsidR="00EE3CDC" w:rsidRPr="009E061D">
        <w:rPr>
          <w:rFonts w:ascii="Arial" w:hAnsi="Arial" w:cs="Arial"/>
          <w:b/>
          <w:sz w:val="24"/>
          <w:szCs w:val="24"/>
        </w:rPr>
        <w:t xml:space="preserve"> interactivity studies</w:t>
      </w:r>
      <w:r w:rsidR="008624E2" w:rsidRPr="009E061D">
        <w:rPr>
          <w:rFonts w:ascii="Arial" w:hAnsi="Arial" w:cs="Arial"/>
          <w:b/>
          <w:sz w:val="24"/>
          <w:szCs w:val="24"/>
        </w:rPr>
        <w:t xml:space="preserve"> to define synergistic anti-malarial combinatorial regimes </w:t>
      </w:r>
      <w:r w:rsidR="00EE3CDC" w:rsidRPr="009E061D">
        <w:rPr>
          <w:rFonts w:ascii="Arial" w:hAnsi="Arial" w:cs="Arial"/>
          <w:b/>
          <w:sz w:val="24"/>
          <w:szCs w:val="24"/>
        </w:rPr>
        <w:t xml:space="preserve">for </w:t>
      </w:r>
      <w:r w:rsidR="006B1B5D" w:rsidRPr="009E061D">
        <w:rPr>
          <w:rFonts w:ascii="Arial" w:hAnsi="Arial" w:cs="Arial"/>
          <w:b/>
          <w:sz w:val="24"/>
          <w:szCs w:val="24"/>
        </w:rPr>
        <w:t>e</w:t>
      </w:r>
      <w:r w:rsidR="00EE3CDC" w:rsidRPr="009E061D">
        <w:rPr>
          <w:rFonts w:ascii="Arial" w:hAnsi="Arial" w:cs="Arial"/>
          <w:b/>
          <w:sz w:val="24"/>
          <w:szCs w:val="24"/>
        </w:rPr>
        <w:t xml:space="preserve">metine </w:t>
      </w:r>
      <w:proofErr w:type="spellStart"/>
      <w:r w:rsidR="00EE3CDC" w:rsidRPr="009E061D">
        <w:rPr>
          <w:rFonts w:ascii="Arial" w:hAnsi="Arial" w:cs="Arial"/>
          <w:b/>
          <w:sz w:val="24"/>
          <w:szCs w:val="24"/>
        </w:rPr>
        <w:t>dihydrochloride</w:t>
      </w:r>
      <w:bookmarkStart w:id="0" w:name="_GoBack"/>
      <w:bookmarkEnd w:id="0"/>
      <w:proofErr w:type="spellEnd"/>
    </w:p>
    <w:p w:rsidR="00EE3CDC" w:rsidRPr="009E061D" w:rsidRDefault="00EE3CDC" w:rsidP="00CD108A">
      <w:pPr>
        <w:shd w:val="clear" w:color="auto" w:fill="FBFBFB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CD108A" w:rsidRPr="009E061D" w:rsidRDefault="00CD108A" w:rsidP="00CD108A">
      <w:pPr>
        <w:shd w:val="clear" w:color="auto" w:fill="FBFBFB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9E061D">
        <w:rPr>
          <w:rFonts w:ascii="Arial" w:hAnsi="Arial" w:cs="Arial"/>
          <w:b/>
          <w:sz w:val="24"/>
          <w:szCs w:val="24"/>
        </w:rPr>
        <w:t>Abstract</w:t>
      </w:r>
    </w:p>
    <w:p w:rsidR="00CD108A" w:rsidRPr="009E061D" w:rsidRDefault="00B96466" w:rsidP="00CD108A">
      <w:pPr>
        <w:shd w:val="clear" w:color="auto" w:fill="FBFBFB"/>
        <w:spacing w:after="432" w:line="360" w:lineRule="auto"/>
        <w:jc w:val="both"/>
        <w:rPr>
          <w:rFonts w:ascii="Arial" w:hAnsi="Arial" w:cs="Arial"/>
          <w:sz w:val="24"/>
          <w:szCs w:val="24"/>
        </w:rPr>
      </w:pPr>
      <w:r w:rsidRPr="009E061D">
        <w:rPr>
          <w:rFonts w:ascii="Arial" w:hAnsi="Arial" w:cs="Arial"/>
          <w:sz w:val="24"/>
          <w:szCs w:val="24"/>
        </w:rPr>
        <w:t xml:space="preserve">The emergence and spread of artemisinin resistance to </w:t>
      </w:r>
      <w:r w:rsidRPr="009E061D">
        <w:rPr>
          <w:rFonts w:ascii="Arial" w:hAnsi="Arial" w:cs="Arial"/>
          <w:i/>
          <w:sz w:val="24"/>
          <w:szCs w:val="24"/>
        </w:rPr>
        <w:t>Plasmodium falciparum</w:t>
      </w:r>
      <w:r w:rsidRPr="009E061D">
        <w:rPr>
          <w:rFonts w:ascii="Arial" w:hAnsi="Arial" w:cs="Arial"/>
          <w:sz w:val="24"/>
          <w:szCs w:val="24"/>
        </w:rPr>
        <w:t xml:space="preserve"> in Southeast Asia poses a serious threat to ongoing malaria control efforts. </w:t>
      </w:r>
      <w:r w:rsidR="00CD108A" w:rsidRPr="009E061D">
        <w:rPr>
          <w:rFonts w:ascii="Arial" w:hAnsi="Arial" w:cs="Arial"/>
          <w:sz w:val="24"/>
          <w:szCs w:val="24"/>
        </w:rPr>
        <w:t xml:space="preserve">Unless new approaches are deployed </w:t>
      </w:r>
      <w:r w:rsidRPr="009E061D">
        <w:rPr>
          <w:rFonts w:ascii="Arial" w:hAnsi="Arial" w:cs="Arial"/>
          <w:sz w:val="24"/>
          <w:szCs w:val="24"/>
        </w:rPr>
        <w:t xml:space="preserve">rapidly, </w:t>
      </w:r>
      <w:r w:rsidR="00CD108A" w:rsidRPr="009E061D">
        <w:rPr>
          <w:rFonts w:ascii="Arial" w:hAnsi="Arial" w:cs="Arial"/>
          <w:sz w:val="24"/>
          <w:szCs w:val="24"/>
        </w:rPr>
        <w:t xml:space="preserve">the health and economic burden related to the disease in tropical countries is certain to worsen. The development of treatments </w:t>
      </w:r>
      <w:r w:rsidR="005C1711" w:rsidRPr="009E061D">
        <w:rPr>
          <w:rFonts w:ascii="Arial" w:hAnsi="Arial" w:cs="Arial"/>
          <w:sz w:val="24"/>
          <w:szCs w:val="24"/>
        </w:rPr>
        <w:t xml:space="preserve">through drug repositioning </w:t>
      </w:r>
      <w:r w:rsidRPr="009E061D">
        <w:rPr>
          <w:rFonts w:ascii="Arial" w:hAnsi="Arial" w:cs="Arial"/>
          <w:sz w:val="24"/>
          <w:szCs w:val="24"/>
        </w:rPr>
        <w:t xml:space="preserve">may offer novel candidates permitting new </w:t>
      </w:r>
      <w:r w:rsidR="00CD108A" w:rsidRPr="009E061D">
        <w:rPr>
          <w:rFonts w:ascii="Arial" w:hAnsi="Arial" w:cs="Arial"/>
          <w:sz w:val="24"/>
          <w:szCs w:val="24"/>
        </w:rPr>
        <w:t>combinat</w:t>
      </w:r>
      <w:r w:rsidRPr="009E061D">
        <w:rPr>
          <w:rFonts w:ascii="Arial" w:hAnsi="Arial" w:cs="Arial"/>
          <w:sz w:val="24"/>
          <w:szCs w:val="24"/>
        </w:rPr>
        <w:t>orial r</w:t>
      </w:r>
      <w:r w:rsidR="007E71DB" w:rsidRPr="009E061D">
        <w:rPr>
          <w:rFonts w:ascii="Arial" w:hAnsi="Arial" w:cs="Arial"/>
          <w:sz w:val="24"/>
          <w:szCs w:val="24"/>
        </w:rPr>
        <w:t>egimes with existing anti-mala</w:t>
      </w:r>
      <w:r w:rsidRPr="009E061D">
        <w:rPr>
          <w:rFonts w:ascii="Arial" w:hAnsi="Arial" w:cs="Arial"/>
          <w:sz w:val="24"/>
          <w:szCs w:val="24"/>
        </w:rPr>
        <w:t>r</w:t>
      </w:r>
      <w:r w:rsidR="007E71DB" w:rsidRPr="009E061D">
        <w:rPr>
          <w:rFonts w:ascii="Arial" w:hAnsi="Arial" w:cs="Arial"/>
          <w:sz w:val="24"/>
          <w:szCs w:val="24"/>
        </w:rPr>
        <w:t>i</w:t>
      </w:r>
      <w:r w:rsidRPr="009E061D">
        <w:rPr>
          <w:rFonts w:ascii="Arial" w:hAnsi="Arial" w:cs="Arial"/>
          <w:sz w:val="24"/>
          <w:szCs w:val="24"/>
        </w:rPr>
        <w:t>a</w:t>
      </w:r>
      <w:r w:rsidR="007E71DB" w:rsidRPr="009E061D">
        <w:rPr>
          <w:rFonts w:ascii="Arial" w:hAnsi="Arial" w:cs="Arial"/>
          <w:sz w:val="24"/>
          <w:szCs w:val="24"/>
        </w:rPr>
        <w:t>ls</w:t>
      </w:r>
      <w:r w:rsidRPr="009E061D">
        <w:rPr>
          <w:rFonts w:ascii="Arial" w:hAnsi="Arial" w:cs="Arial"/>
          <w:sz w:val="24"/>
          <w:szCs w:val="24"/>
        </w:rPr>
        <w:t>.</w:t>
      </w:r>
      <w:r w:rsidR="007E71DB" w:rsidRPr="009E061D">
        <w:rPr>
          <w:rFonts w:ascii="Arial" w:hAnsi="Arial" w:cs="Arial"/>
          <w:sz w:val="24"/>
          <w:szCs w:val="24"/>
        </w:rPr>
        <w:t xml:space="preserve"> The approach could present a much needed viable</w:t>
      </w:r>
      <w:r w:rsidR="00EE7790" w:rsidRPr="009E061D">
        <w:rPr>
          <w:rFonts w:ascii="Arial" w:hAnsi="Arial" w:cs="Arial"/>
          <w:sz w:val="24"/>
          <w:szCs w:val="24"/>
        </w:rPr>
        <w:t>, accelerated</w:t>
      </w:r>
      <w:r w:rsidR="007E71DB" w:rsidRPr="009E061D">
        <w:rPr>
          <w:rFonts w:ascii="Arial" w:hAnsi="Arial" w:cs="Arial"/>
          <w:sz w:val="24"/>
          <w:szCs w:val="24"/>
        </w:rPr>
        <w:t xml:space="preserve"> route to expand the d</w:t>
      </w:r>
      <w:r w:rsidR="005C1711" w:rsidRPr="009E061D">
        <w:rPr>
          <w:rFonts w:ascii="Arial" w:hAnsi="Arial" w:cs="Arial"/>
          <w:sz w:val="24"/>
          <w:szCs w:val="24"/>
        </w:rPr>
        <w:t xml:space="preserve">windling </w:t>
      </w:r>
      <w:r w:rsidR="00EE7790" w:rsidRPr="009E061D">
        <w:rPr>
          <w:rFonts w:ascii="Arial" w:hAnsi="Arial" w:cs="Arial"/>
          <w:sz w:val="24"/>
          <w:szCs w:val="24"/>
        </w:rPr>
        <w:t xml:space="preserve">antimalarial </w:t>
      </w:r>
      <w:r w:rsidR="005C1711" w:rsidRPr="009E061D">
        <w:rPr>
          <w:rFonts w:ascii="Arial" w:hAnsi="Arial" w:cs="Arial"/>
          <w:sz w:val="24"/>
          <w:szCs w:val="24"/>
        </w:rPr>
        <w:t>therapeutic repertoire</w:t>
      </w:r>
      <w:r w:rsidR="00CD108A" w:rsidRPr="009E061D">
        <w:rPr>
          <w:rFonts w:ascii="Arial" w:hAnsi="Arial" w:cs="Arial"/>
          <w:sz w:val="24"/>
          <w:szCs w:val="24"/>
        </w:rPr>
        <w:t xml:space="preserve">. </w:t>
      </w:r>
      <w:r w:rsidR="007E71DB" w:rsidRPr="009E061D">
        <w:rPr>
          <w:rFonts w:ascii="Arial" w:hAnsi="Arial" w:cs="Arial"/>
          <w:sz w:val="24"/>
          <w:szCs w:val="24"/>
        </w:rPr>
        <w:t>Drug repositioning screens previously carried out in our laboratory reported the pot</w:t>
      </w:r>
      <w:r w:rsidR="0067702F" w:rsidRPr="009E061D">
        <w:rPr>
          <w:rFonts w:ascii="Arial" w:hAnsi="Arial" w:cs="Arial"/>
          <w:sz w:val="24"/>
          <w:szCs w:val="24"/>
        </w:rPr>
        <w:t>ent antimalarial efficacy (IC</w:t>
      </w:r>
      <w:r w:rsidR="0067702F" w:rsidRPr="009E061D">
        <w:rPr>
          <w:rFonts w:ascii="Arial" w:hAnsi="Arial" w:cs="Arial"/>
          <w:sz w:val="24"/>
          <w:szCs w:val="24"/>
          <w:vertAlign w:val="subscript"/>
        </w:rPr>
        <w:t>50</w:t>
      </w:r>
      <w:r w:rsidR="0067702F" w:rsidRPr="009E061D">
        <w:rPr>
          <w:rFonts w:ascii="Arial" w:hAnsi="Arial" w:cs="Arial"/>
          <w:sz w:val="24"/>
          <w:szCs w:val="24"/>
        </w:rPr>
        <w:t xml:space="preserve"> 47nM for </w:t>
      </w:r>
      <w:r w:rsidR="0067702F" w:rsidRPr="009E061D">
        <w:rPr>
          <w:rFonts w:ascii="Arial" w:hAnsi="Arial" w:cs="Arial"/>
          <w:i/>
          <w:sz w:val="24"/>
          <w:szCs w:val="24"/>
        </w:rPr>
        <w:t>P.</w:t>
      </w:r>
      <w:r w:rsidR="0067702F" w:rsidRPr="009E061D">
        <w:rPr>
          <w:rFonts w:ascii="Arial" w:hAnsi="Arial" w:cs="Arial"/>
          <w:sz w:val="24"/>
          <w:szCs w:val="24"/>
        </w:rPr>
        <w:t xml:space="preserve"> </w:t>
      </w:r>
      <w:r w:rsidR="0067702F" w:rsidRPr="009E061D">
        <w:rPr>
          <w:rFonts w:ascii="Arial" w:hAnsi="Arial" w:cs="Arial"/>
          <w:i/>
          <w:sz w:val="24"/>
          <w:szCs w:val="24"/>
        </w:rPr>
        <w:t>falciparum</w:t>
      </w:r>
      <w:r w:rsidR="0067702F" w:rsidRPr="009E061D">
        <w:rPr>
          <w:rFonts w:ascii="Arial" w:hAnsi="Arial" w:cs="Arial"/>
          <w:sz w:val="24"/>
          <w:szCs w:val="24"/>
        </w:rPr>
        <w:t xml:space="preserve"> K1 strain</w:t>
      </w:r>
      <w:r w:rsidR="007E71DB" w:rsidRPr="009E061D">
        <w:rPr>
          <w:rFonts w:ascii="Arial" w:hAnsi="Arial" w:cs="Arial"/>
          <w:sz w:val="24"/>
          <w:szCs w:val="24"/>
        </w:rPr>
        <w:t xml:space="preserve">) of the anti-amoebic drug Emetine dihydrochloride hydrate. We present here the preliminary data from a study designed to </w:t>
      </w:r>
      <w:r w:rsidR="00EE7790" w:rsidRPr="009E061D">
        <w:rPr>
          <w:rFonts w:ascii="Arial" w:hAnsi="Arial" w:cs="Arial"/>
          <w:sz w:val="24"/>
          <w:szCs w:val="24"/>
        </w:rPr>
        <w:t>define</w:t>
      </w:r>
      <w:r w:rsidR="007E71DB" w:rsidRPr="009E061D">
        <w:rPr>
          <w:rFonts w:ascii="Arial" w:hAnsi="Arial" w:cs="Arial"/>
          <w:sz w:val="24"/>
          <w:szCs w:val="24"/>
        </w:rPr>
        <w:t xml:space="preserve"> the combinatorial therapeutic potential of emetine with a panel of antimalarial drugs</w:t>
      </w:r>
      <w:r w:rsidR="00EE7790" w:rsidRPr="009E061D">
        <w:rPr>
          <w:rFonts w:ascii="Arial" w:hAnsi="Arial" w:cs="Arial"/>
          <w:sz w:val="24"/>
          <w:szCs w:val="24"/>
        </w:rPr>
        <w:t>, in a bid</w:t>
      </w:r>
      <w:r w:rsidR="007E71DB" w:rsidRPr="009E061D">
        <w:rPr>
          <w:rFonts w:ascii="Arial" w:hAnsi="Arial" w:cs="Arial"/>
          <w:sz w:val="24"/>
          <w:szCs w:val="24"/>
        </w:rPr>
        <w:t xml:space="preserve"> </w:t>
      </w:r>
      <w:r w:rsidR="00EE7790" w:rsidRPr="009E061D">
        <w:rPr>
          <w:rFonts w:ascii="Arial" w:hAnsi="Arial" w:cs="Arial"/>
          <w:sz w:val="24"/>
          <w:szCs w:val="24"/>
        </w:rPr>
        <w:t xml:space="preserve">to </w:t>
      </w:r>
      <w:r w:rsidR="007E71DB" w:rsidRPr="009E061D">
        <w:rPr>
          <w:rFonts w:ascii="Arial" w:hAnsi="Arial" w:cs="Arial"/>
          <w:sz w:val="24"/>
          <w:szCs w:val="24"/>
        </w:rPr>
        <w:t xml:space="preserve">minimise non-target effects previously experienced with </w:t>
      </w:r>
      <w:r w:rsidR="00EE7790" w:rsidRPr="009E061D">
        <w:rPr>
          <w:rFonts w:ascii="Arial" w:hAnsi="Arial" w:cs="Arial"/>
          <w:sz w:val="24"/>
          <w:szCs w:val="24"/>
        </w:rPr>
        <w:t>the use of the drug</w:t>
      </w:r>
      <w:r w:rsidR="007E71DB" w:rsidRPr="009E061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7E71DB" w:rsidRPr="009E061D">
        <w:rPr>
          <w:rFonts w:ascii="Arial" w:hAnsi="Arial" w:cs="Arial"/>
          <w:sz w:val="24"/>
          <w:szCs w:val="24"/>
        </w:rPr>
        <w:t>amoebiasis</w:t>
      </w:r>
      <w:proofErr w:type="spellEnd"/>
      <w:r w:rsidR="007E71DB" w:rsidRPr="009E061D">
        <w:rPr>
          <w:rFonts w:ascii="Arial" w:hAnsi="Arial" w:cs="Arial"/>
          <w:sz w:val="24"/>
          <w:szCs w:val="24"/>
        </w:rPr>
        <w:t>.</w:t>
      </w:r>
      <w:r w:rsidR="00CD495E" w:rsidRPr="009E061D">
        <w:rPr>
          <w:rFonts w:ascii="Arial" w:hAnsi="Arial" w:cs="Arial"/>
          <w:sz w:val="24"/>
          <w:szCs w:val="24"/>
        </w:rPr>
        <w:t xml:space="preserve"> </w:t>
      </w:r>
      <w:r w:rsidR="00CD108A" w:rsidRPr="009E061D">
        <w:rPr>
          <w:rFonts w:ascii="Arial" w:hAnsi="Arial" w:cs="Arial"/>
          <w:sz w:val="24"/>
          <w:szCs w:val="24"/>
        </w:rPr>
        <w:t xml:space="preserve">The rational discovery of novel </w:t>
      </w:r>
      <w:r w:rsidR="00EE7790" w:rsidRPr="009E061D">
        <w:rPr>
          <w:rFonts w:ascii="Arial" w:hAnsi="Arial" w:cs="Arial"/>
          <w:sz w:val="24"/>
          <w:szCs w:val="24"/>
        </w:rPr>
        <w:t xml:space="preserve">synergistic </w:t>
      </w:r>
      <w:r w:rsidR="00CD108A" w:rsidRPr="009E061D">
        <w:rPr>
          <w:rFonts w:ascii="Arial" w:hAnsi="Arial" w:cs="Arial"/>
          <w:sz w:val="24"/>
          <w:szCs w:val="24"/>
        </w:rPr>
        <w:t>drug combinations can be accelerated by predictions of combination effects through experimental studies</w:t>
      </w:r>
      <w:r w:rsidR="00EE7790" w:rsidRPr="009E061D">
        <w:rPr>
          <w:rFonts w:ascii="Arial" w:hAnsi="Arial" w:cs="Arial"/>
          <w:sz w:val="24"/>
          <w:szCs w:val="24"/>
        </w:rPr>
        <w:t xml:space="preserve">. All combinations were analysed using the optimised </w:t>
      </w:r>
      <w:proofErr w:type="spellStart"/>
      <w:r w:rsidR="00EE7790" w:rsidRPr="009E061D">
        <w:rPr>
          <w:rFonts w:ascii="Arial" w:hAnsi="Arial" w:cs="Arial"/>
          <w:sz w:val="24"/>
          <w:szCs w:val="24"/>
        </w:rPr>
        <w:t>CalcuSyn</w:t>
      </w:r>
      <w:proofErr w:type="spellEnd"/>
      <w:r w:rsidR="00EE7790" w:rsidRPr="009E061D">
        <w:rPr>
          <w:rFonts w:ascii="Arial" w:hAnsi="Arial" w:cs="Arial"/>
          <w:sz w:val="24"/>
          <w:szCs w:val="24"/>
        </w:rPr>
        <w:t xml:space="preserve"> fixed-ratio method validated using the </w:t>
      </w:r>
      <w:proofErr w:type="spellStart"/>
      <w:r w:rsidR="00EE7790" w:rsidRPr="009E061D">
        <w:rPr>
          <w:rFonts w:ascii="Arial" w:hAnsi="Arial" w:cs="Arial"/>
          <w:sz w:val="24"/>
          <w:szCs w:val="24"/>
        </w:rPr>
        <w:t>atovoquone-proguanil</w:t>
      </w:r>
      <w:proofErr w:type="spellEnd"/>
      <w:r w:rsidR="00EE7790" w:rsidRPr="009E061D">
        <w:rPr>
          <w:rFonts w:ascii="Arial" w:hAnsi="Arial" w:cs="Arial"/>
          <w:sz w:val="24"/>
          <w:szCs w:val="24"/>
        </w:rPr>
        <w:t xml:space="preserve"> combination. </w:t>
      </w:r>
      <w:r w:rsidR="00A30B67" w:rsidRPr="009E061D">
        <w:rPr>
          <w:rFonts w:ascii="Arial" w:hAnsi="Arial" w:cs="Arial"/>
          <w:sz w:val="24"/>
          <w:szCs w:val="24"/>
        </w:rPr>
        <w:t xml:space="preserve">Following a screen of </w:t>
      </w:r>
      <w:r w:rsidR="00EE7790" w:rsidRPr="009E061D">
        <w:rPr>
          <w:rFonts w:ascii="Arial" w:hAnsi="Arial" w:cs="Arial"/>
          <w:sz w:val="24"/>
          <w:szCs w:val="24"/>
        </w:rPr>
        <w:t>current</w:t>
      </w:r>
      <w:r w:rsidR="00A30B67" w:rsidRPr="009E061D">
        <w:rPr>
          <w:rFonts w:ascii="Arial" w:hAnsi="Arial" w:cs="Arial"/>
          <w:sz w:val="24"/>
          <w:szCs w:val="24"/>
        </w:rPr>
        <w:t xml:space="preserve"> antimalarial compounds, our preliminary data identified</w:t>
      </w:r>
      <w:r w:rsidR="00CD108A" w:rsidRPr="009E061D">
        <w:rPr>
          <w:rFonts w:ascii="Arial" w:hAnsi="Arial" w:cs="Arial"/>
          <w:sz w:val="24"/>
          <w:szCs w:val="24"/>
        </w:rPr>
        <w:t xml:space="preserve"> AN16 </w:t>
      </w:r>
      <w:r w:rsidR="00A30B67" w:rsidRPr="009E061D">
        <w:rPr>
          <w:rFonts w:ascii="Arial" w:hAnsi="Arial" w:cs="Arial"/>
          <w:sz w:val="24"/>
          <w:szCs w:val="24"/>
        </w:rPr>
        <w:t xml:space="preserve">as the combinatorial partner drug displaying maximum synergistic interactivity with </w:t>
      </w:r>
      <w:r w:rsidR="00CD108A" w:rsidRPr="009E061D">
        <w:rPr>
          <w:rFonts w:ascii="Arial" w:hAnsi="Arial" w:cs="Arial"/>
          <w:sz w:val="24"/>
          <w:szCs w:val="24"/>
        </w:rPr>
        <w:t xml:space="preserve">emetine </w:t>
      </w:r>
      <w:r w:rsidR="00A30B67" w:rsidRPr="009E061D">
        <w:rPr>
          <w:rFonts w:ascii="Arial" w:hAnsi="Arial" w:cs="Arial"/>
          <w:sz w:val="24"/>
          <w:szCs w:val="24"/>
        </w:rPr>
        <w:t>dihydrochloride.</w:t>
      </w:r>
      <w:r w:rsidR="00CD108A" w:rsidRPr="009E061D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CD108A" w:rsidRPr="009E061D">
        <w:rPr>
          <w:rFonts w:ascii="Arial" w:hAnsi="Arial" w:cs="Arial"/>
          <w:sz w:val="24"/>
          <w:szCs w:val="24"/>
        </w:rPr>
        <w:t>isobologram</w:t>
      </w:r>
      <w:proofErr w:type="spellEnd"/>
      <w:r w:rsidR="00CD108A" w:rsidRPr="009E061D">
        <w:rPr>
          <w:rFonts w:ascii="Arial" w:hAnsi="Arial" w:cs="Arial"/>
          <w:sz w:val="24"/>
          <w:szCs w:val="24"/>
        </w:rPr>
        <w:t xml:space="preserve"> plot and the combination index (CI) generated by the </w:t>
      </w:r>
      <w:proofErr w:type="spellStart"/>
      <w:r w:rsidR="00A30B67" w:rsidRPr="009E061D">
        <w:rPr>
          <w:rFonts w:ascii="Arial" w:hAnsi="Arial" w:cs="Arial"/>
          <w:sz w:val="24"/>
          <w:szCs w:val="24"/>
        </w:rPr>
        <w:t>C</w:t>
      </w:r>
      <w:r w:rsidR="00CD108A" w:rsidRPr="009E061D">
        <w:rPr>
          <w:rFonts w:ascii="Arial" w:hAnsi="Arial" w:cs="Arial"/>
          <w:sz w:val="24"/>
          <w:szCs w:val="24"/>
        </w:rPr>
        <w:t>alcuSyn</w:t>
      </w:r>
      <w:proofErr w:type="spellEnd"/>
      <w:r w:rsidR="00CD108A" w:rsidRPr="009E061D">
        <w:rPr>
          <w:rFonts w:ascii="Arial" w:hAnsi="Arial" w:cs="Arial"/>
          <w:sz w:val="24"/>
          <w:szCs w:val="24"/>
        </w:rPr>
        <w:t xml:space="preserve"> software demonstrated that the interaction between emetine and </w:t>
      </w:r>
      <w:r w:rsidR="00A30B67" w:rsidRPr="009E061D">
        <w:rPr>
          <w:rFonts w:ascii="Arial" w:hAnsi="Arial" w:cs="Arial"/>
          <w:sz w:val="24"/>
          <w:szCs w:val="24"/>
        </w:rPr>
        <w:t xml:space="preserve">AN16 </w:t>
      </w:r>
      <w:r w:rsidR="00CD108A" w:rsidRPr="009E061D">
        <w:rPr>
          <w:rFonts w:ascii="Arial" w:hAnsi="Arial" w:cs="Arial"/>
          <w:sz w:val="24"/>
          <w:szCs w:val="24"/>
        </w:rPr>
        <w:t>is synergistic at IC</w:t>
      </w:r>
      <w:r w:rsidR="00CD108A" w:rsidRPr="009E061D">
        <w:rPr>
          <w:rFonts w:ascii="Arial" w:hAnsi="Arial" w:cs="Arial"/>
          <w:sz w:val="24"/>
          <w:szCs w:val="24"/>
          <w:vertAlign w:val="subscript"/>
        </w:rPr>
        <w:t>50</w:t>
      </w:r>
      <w:r w:rsidR="00CD108A" w:rsidRPr="009E061D">
        <w:rPr>
          <w:rFonts w:ascii="Arial" w:hAnsi="Arial" w:cs="Arial"/>
          <w:sz w:val="24"/>
          <w:szCs w:val="24"/>
        </w:rPr>
        <w:t>, 1C</w:t>
      </w:r>
      <w:r w:rsidR="00CD108A" w:rsidRPr="009E061D">
        <w:rPr>
          <w:rFonts w:ascii="Arial" w:hAnsi="Arial" w:cs="Arial"/>
          <w:sz w:val="24"/>
          <w:szCs w:val="24"/>
          <w:vertAlign w:val="subscript"/>
        </w:rPr>
        <w:t>75</w:t>
      </w:r>
      <w:r w:rsidR="00CD108A" w:rsidRPr="009E061D">
        <w:rPr>
          <w:rFonts w:ascii="Arial" w:hAnsi="Arial" w:cs="Arial"/>
          <w:sz w:val="24"/>
          <w:szCs w:val="24"/>
        </w:rPr>
        <w:t xml:space="preserve"> and IC</w:t>
      </w:r>
      <w:r w:rsidR="00CD108A" w:rsidRPr="009E061D">
        <w:rPr>
          <w:rFonts w:ascii="Arial" w:hAnsi="Arial" w:cs="Arial"/>
          <w:sz w:val="24"/>
          <w:szCs w:val="24"/>
          <w:vertAlign w:val="subscript"/>
        </w:rPr>
        <w:t>90</w:t>
      </w:r>
      <w:r w:rsidR="00CD108A" w:rsidRPr="009E061D">
        <w:rPr>
          <w:rFonts w:ascii="Arial" w:hAnsi="Arial" w:cs="Arial"/>
          <w:sz w:val="24"/>
          <w:szCs w:val="24"/>
        </w:rPr>
        <w:t xml:space="preserve"> levels. The MTT cytotoxicity results indicated that </w:t>
      </w:r>
      <w:r w:rsidR="00EE7790" w:rsidRPr="009E061D">
        <w:rPr>
          <w:rFonts w:ascii="Arial" w:hAnsi="Arial" w:cs="Arial"/>
          <w:sz w:val="24"/>
          <w:szCs w:val="24"/>
        </w:rPr>
        <w:t xml:space="preserve">the </w:t>
      </w:r>
      <w:r w:rsidR="00CD108A" w:rsidRPr="009E061D">
        <w:rPr>
          <w:rFonts w:ascii="Arial" w:hAnsi="Arial" w:cs="Arial"/>
          <w:sz w:val="24"/>
          <w:szCs w:val="24"/>
        </w:rPr>
        <w:t xml:space="preserve">emetine-AN16 combination has a better selectivity index </w:t>
      </w:r>
      <w:r w:rsidR="00EE7790" w:rsidRPr="009E061D">
        <w:rPr>
          <w:rFonts w:ascii="Arial" w:hAnsi="Arial" w:cs="Arial"/>
          <w:sz w:val="24"/>
          <w:szCs w:val="24"/>
        </w:rPr>
        <w:t xml:space="preserve">in comparison </w:t>
      </w:r>
      <w:r w:rsidR="00CD108A" w:rsidRPr="009E061D">
        <w:rPr>
          <w:rFonts w:ascii="Arial" w:hAnsi="Arial" w:cs="Arial"/>
          <w:sz w:val="24"/>
          <w:szCs w:val="24"/>
        </w:rPr>
        <w:t xml:space="preserve">to emetine alone. The results strongly </w:t>
      </w:r>
      <w:r w:rsidR="00EE7790" w:rsidRPr="009E061D">
        <w:rPr>
          <w:rFonts w:ascii="Arial" w:hAnsi="Arial" w:cs="Arial"/>
          <w:sz w:val="24"/>
          <w:szCs w:val="24"/>
        </w:rPr>
        <w:t xml:space="preserve">support further </w:t>
      </w:r>
      <w:r w:rsidR="00EE7790" w:rsidRPr="009E061D">
        <w:rPr>
          <w:rFonts w:ascii="Arial" w:hAnsi="Arial" w:cs="Arial"/>
          <w:i/>
          <w:sz w:val="24"/>
          <w:szCs w:val="24"/>
        </w:rPr>
        <w:t>in vivo</w:t>
      </w:r>
      <w:r w:rsidR="00EE7790" w:rsidRPr="009E061D">
        <w:rPr>
          <w:rFonts w:ascii="Arial" w:hAnsi="Arial" w:cs="Arial"/>
          <w:sz w:val="24"/>
          <w:szCs w:val="24"/>
        </w:rPr>
        <w:t xml:space="preserve"> investigation of the </w:t>
      </w:r>
      <w:r w:rsidR="00CD108A" w:rsidRPr="009E061D">
        <w:rPr>
          <w:rFonts w:ascii="Arial" w:hAnsi="Arial" w:cs="Arial"/>
          <w:sz w:val="24"/>
          <w:szCs w:val="24"/>
        </w:rPr>
        <w:t xml:space="preserve">utility of emetine-AN16 combination as an alternative antimalarial treatment </w:t>
      </w:r>
      <w:r w:rsidR="00EE7790" w:rsidRPr="009E061D">
        <w:rPr>
          <w:rFonts w:ascii="Arial" w:hAnsi="Arial" w:cs="Arial"/>
          <w:sz w:val="24"/>
          <w:szCs w:val="24"/>
        </w:rPr>
        <w:t xml:space="preserve">for drug resistance malaria. </w:t>
      </w:r>
    </w:p>
    <w:p w:rsidR="00945377" w:rsidRPr="009E061D" w:rsidRDefault="009C3B08">
      <w:pPr>
        <w:rPr>
          <w:rFonts w:ascii="Arial" w:hAnsi="Arial" w:cs="Arial"/>
          <w:sz w:val="24"/>
          <w:szCs w:val="24"/>
        </w:rPr>
      </w:pPr>
      <w:r w:rsidRPr="009E061D">
        <w:rPr>
          <w:rFonts w:ascii="Arial" w:hAnsi="Arial" w:cs="Arial"/>
          <w:sz w:val="24"/>
          <w:szCs w:val="24"/>
        </w:rPr>
        <w:t xml:space="preserve">Keywords: drug resistance, drug repositioning, emetine </w:t>
      </w:r>
      <w:proofErr w:type="spellStart"/>
      <w:r w:rsidRPr="009E061D">
        <w:rPr>
          <w:rFonts w:ascii="Arial" w:hAnsi="Arial" w:cs="Arial"/>
          <w:sz w:val="24"/>
          <w:szCs w:val="24"/>
        </w:rPr>
        <w:t>dihydrochloride</w:t>
      </w:r>
      <w:proofErr w:type="spellEnd"/>
      <w:r w:rsidRPr="009E06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E061D">
        <w:rPr>
          <w:rFonts w:ascii="Arial" w:hAnsi="Arial" w:cs="Arial"/>
          <w:sz w:val="24"/>
          <w:szCs w:val="24"/>
        </w:rPr>
        <w:t>calacuSyn</w:t>
      </w:r>
      <w:proofErr w:type="spellEnd"/>
      <w:r w:rsidRPr="009E061D">
        <w:rPr>
          <w:rFonts w:ascii="Arial" w:hAnsi="Arial" w:cs="Arial"/>
          <w:sz w:val="24"/>
          <w:szCs w:val="24"/>
        </w:rPr>
        <w:t xml:space="preserve"> and synergy</w:t>
      </w:r>
    </w:p>
    <w:sectPr w:rsidR="00945377" w:rsidRPr="009E06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8A"/>
    <w:rsid w:val="005407AD"/>
    <w:rsid w:val="005C1711"/>
    <w:rsid w:val="0067702F"/>
    <w:rsid w:val="006B1B5D"/>
    <w:rsid w:val="00717D35"/>
    <w:rsid w:val="007D06BF"/>
    <w:rsid w:val="007E71DB"/>
    <w:rsid w:val="008624E2"/>
    <w:rsid w:val="00945377"/>
    <w:rsid w:val="009C3B08"/>
    <w:rsid w:val="009E061D"/>
    <w:rsid w:val="00A30B67"/>
    <w:rsid w:val="00AD4592"/>
    <w:rsid w:val="00B96466"/>
    <w:rsid w:val="00CD108A"/>
    <w:rsid w:val="00CD495E"/>
    <w:rsid w:val="00EE3CDC"/>
    <w:rsid w:val="00EE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3C369F-AC2C-4434-BC5A-91BC35A2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Salford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Abubaker Muna</dc:creator>
  <cp:lastModifiedBy>Abubaker Muna</cp:lastModifiedBy>
  <cp:revision>6</cp:revision>
  <cp:lastPrinted>2017-05-31T14:43:00Z</cp:lastPrinted>
  <dcterms:created xsi:type="dcterms:W3CDTF">2017-03-06T17:38:00Z</dcterms:created>
  <dcterms:modified xsi:type="dcterms:W3CDTF">2017-05-31T14:43:00Z</dcterms:modified>
</cp:coreProperties>
</file>