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5D1F8D" w:rsidRDefault="005D1F8D" w:rsidP="00494130">
      <w:pPr>
        <w:pStyle w:val="Heading1"/>
        <w:spacing w:before="170"/>
        <w:ind w:left="0"/>
        <w:rPr>
          <w:color w:val="337AB7"/>
          <w:sz w:val="32"/>
          <w:szCs w:val="32"/>
        </w:rPr>
      </w:pPr>
      <w:r w:rsidRPr="005D1F8D">
        <w:rPr>
          <w:color w:val="337AB7"/>
          <w:sz w:val="32"/>
          <w:szCs w:val="32"/>
        </w:rPr>
        <w:t xml:space="preserve">Immersive </w:t>
      </w:r>
      <w:r w:rsidR="009C1F64" w:rsidRPr="005D1F8D">
        <w:rPr>
          <w:color w:val="337AB7"/>
          <w:sz w:val="32"/>
          <w:szCs w:val="32"/>
        </w:rPr>
        <w:t xml:space="preserve">Virtual </w:t>
      </w:r>
      <w:r w:rsidR="004E7D90" w:rsidRPr="005D1F8D">
        <w:rPr>
          <w:color w:val="337AB7"/>
          <w:sz w:val="32"/>
          <w:szCs w:val="32"/>
        </w:rPr>
        <w:t>Reality</w:t>
      </w:r>
      <w:r w:rsidR="009C1F64" w:rsidRPr="005D1F8D">
        <w:rPr>
          <w:color w:val="337AB7"/>
          <w:sz w:val="32"/>
          <w:szCs w:val="32"/>
        </w:rPr>
        <w:t xml:space="preserve"> Planning for </w:t>
      </w:r>
      <w:r w:rsidR="000C7B25" w:rsidRPr="005D1F8D">
        <w:rPr>
          <w:color w:val="337AB7"/>
          <w:sz w:val="32"/>
          <w:szCs w:val="32"/>
        </w:rPr>
        <w:t>Neurosurgical Procedures in Children</w:t>
      </w:r>
    </w:p>
    <w:p w:rsidR="001F2C98" w:rsidRDefault="001F2C98" w:rsidP="00494130">
      <w:pPr>
        <w:pStyle w:val="Heading1"/>
        <w:spacing w:before="170"/>
        <w:ind w:left="0"/>
      </w:pPr>
    </w:p>
    <w:p w:rsidR="00AE3E37" w:rsidRPr="009C1F64" w:rsidRDefault="009C1F64" w:rsidP="009C1F64">
      <w:pPr>
        <w:pStyle w:val="BodyText"/>
        <w:spacing w:before="73" w:line="198" w:lineRule="exact"/>
        <w:ind w:left="100" w:right="5987"/>
        <w:rPr>
          <w:rFonts w:ascii="Arial"/>
        </w:rPr>
      </w:pPr>
      <w:r>
        <w:rPr>
          <w:rFonts w:ascii="Arial"/>
        </w:rPr>
        <w:t>Kurtis Auguste, MD</w:t>
      </w:r>
      <w:r w:rsidR="005973B9">
        <w:rPr>
          <w:rFonts w:ascii="Arial"/>
        </w:rPr>
        <w:t xml:space="preserve">, </w:t>
      </w:r>
      <w:r>
        <w:rPr>
          <w:rFonts w:ascii="Arial"/>
        </w:rPr>
        <w:t>UCSF Benioff Children</w:t>
      </w:r>
      <w:r>
        <w:rPr>
          <w:rFonts w:ascii="Arial"/>
        </w:rPr>
        <w:t>’</w:t>
      </w:r>
      <w:r>
        <w:rPr>
          <w:rFonts w:ascii="Arial"/>
        </w:rPr>
        <w:t>s Hospital</w:t>
      </w:r>
      <w:r w:rsidR="005973B9">
        <w:rPr>
          <w:rFonts w:ascii="Arial"/>
        </w:rPr>
        <w:t xml:space="preserve">, USA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CC6B64" w:rsidRDefault="00A9710C" w:rsidP="00CC6B64">
      <w:pPr>
        <w:pStyle w:val="Heading3"/>
        <w:spacing w:before="147"/>
        <w:ind w:left="0"/>
        <w:jc w:val="both"/>
        <w:rPr>
          <w:color w:val="BF5A14"/>
        </w:rPr>
      </w:pPr>
      <w:r>
        <w:rPr>
          <w:color w:val="BF5A14"/>
        </w:rPr>
        <w:t>Abstract</w:t>
      </w:r>
    </w:p>
    <w:p w:rsidR="00CC6B64" w:rsidRPr="00CC6B64" w:rsidRDefault="00CC6B64" w:rsidP="00CC6B64">
      <w:pPr>
        <w:pStyle w:val="Heading3"/>
        <w:spacing w:before="147"/>
        <w:ind w:left="0"/>
        <w:jc w:val="both"/>
        <w:rPr>
          <w:color w:val="BF5A14"/>
        </w:rPr>
      </w:pPr>
      <w:bookmarkStart w:id="0" w:name="_GoBack"/>
      <w:bookmarkEnd w:id="0"/>
    </w:p>
    <w:p w:rsidR="000B2ED1" w:rsidRPr="00DD208E" w:rsidRDefault="000B2ED1" w:rsidP="000B2ED1">
      <w:pPr>
        <w:rPr>
          <w:sz w:val="18"/>
          <w:szCs w:val="18"/>
        </w:rPr>
      </w:pPr>
      <w:r w:rsidRPr="00DD208E">
        <w:rPr>
          <w:sz w:val="18"/>
          <w:szCs w:val="18"/>
        </w:rPr>
        <w:t>Analysis of radiologic images for pediatric neurosurgical procedures typically involves review of multiple, separate, two-dimensional stacks of scans that are presented individually.  This exercise can be t</w:t>
      </w:r>
      <w:r w:rsidR="003D050E">
        <w:rPr>
          <w:sz w:val="18"/>
          <w:szCs w:val="18"/>
        </w:rPr>
        <w:t>ime-consuming and the end-goal</w:t>
      </w:r>
      <w:r w:rsidRPr="00DD208E">
        <w:rPr>
          <w:sz w:val="18"/>
          <w:szCs w:val="18"/>
        </w:rPr>
        <w:t xml:space="preserve"> of </w:t>
      </w:r>
      <w:r w:rsidR="003D050E">
        <w:rPr>
          <w:sz w:val="18"/>
          <w:szCs w:val="18"/>
        </w:rPr>
        <w:t xml:space="preserve">an </w:t>
      </w:r>
      <w:r w:rsidRPr="00DD208E">
        <w:rPr>
          <w:sz w:val="18"/>
          <w:szCs w:val="18"/>
        </w:rPr>
        <w:t>a</w:t>
      </w:r>
      <w:r w:rsidR="003D050E">
        <w:rPr>
          <w:sz w:val="18"/>
          <w:szCs w:val="18"/>
        </w:rPr>
        <w:t xml:space="preserve">ssembled </w:t>
      </w:r>
      <w:r w:rsidRPr="00DD208E">
        <w:rPr>
          <w:sz w:val="18"/>
          <w:szCs w:val="18"/>
        </w:rPr>
        <w:t>three-dimensional structure in the mind’s eye can be inaccurate.  Virtual reality (VR) surgical pl</w:t>
      </w:r>
      <w:r w:rsidR="003D050E">
        <w:rPr>
          <w:sz w:val="18"/>
          <w:szCs w:val="18"/>
        </w:rPr>
        <w:t>anning stations construct</w:t>
      </w:r>
      <w:r w:rsidRPr="00DD208E">
        <w:rPr>
          <w:sz w:val="18"/>
          <w:szCs w:val="18"/>
        </w:rPr>
        <w:t xml:space="preserve"> three-dimensional </w:t>
      </w:r>
      <w:r w:rsidR="003D050E">
        <w:rPr>
          <w:sz w:val="18"/>
          <w:szCs w:val="18"/>
        </w:rPr>
        <w:t>renderings for users</w:t>
      </w:r>
      <w:r w:rsidRPr="00DD208E">
        <w:rPr>
          <w:sz w:val="18"/>
          <w:szCs w:val="18"/>
        </w:rPr>
        <w:t>, synthesizing multiple imaging modalities into one</w:t>
      </w:r>
      <w:r w:rsidR="00167871">
        <w:rPr>
          <w:sz w:val="18"/>
          <w:szCs w:val="18"/>
        </w:rPr>
        <w:t xml:space="preserve"> platform that can be navigated with </w:t>
      </w:r>
      <w:r w:rsidR="00A157BF">
        <w:rPr>
          <w:sz w:val="18"/>
          <w:szCs w:val="18"/>
        </w:rPr>
        <w:t xml:space="preserve">immersive </w:t>
      </w:r>
      <w:r w:rsidR="00167871">
        <w:rPr>
          <w:sz w:val="18"/>
          <w:szCs w:val="18"/>
        </w:rPr>
        <w:t>lenses</w:t>
      </w:r>
      <w:r w:rsidRPr="00DD208E">
        <w:rPr>
          <w:sz w:val="18"/>
          <w:szCs w:val="18"/>
        </w:rPr>
        <w:t xml:space="preserve"> in a </w:t>
      </w:r>
      <w:proofErr w:type="gramStart"/>
      <w:r w:rsidRPr="00DD208E">
        <w:rPr>
          <w:sz w:val="18"/>
          <w:szCs w:val="18"/>
        </w:rPr>
        <w:t>360 degree</w:t>
      </w:r>
      <w:proofErr w:type="gramEnd"/>
      <w:r w:rsidRPr="00DD208E">
        <w:rPr>
          <w:sz w:val="18"/>
          <w:szCs w:val="18"/>
        </w:rPr>
        <w:t xml:space="preserve"> experience.  The authors use VR technology to prepare for tumor, epilepsy, arteriovenous malformation (AVM) and hydrocephalus surgery in children.  Pediatric patients undergoing neurosurgical procedures at the University of California San Francisco Benioff Children’s Hospitals were included in this study.  Images were processed on the Surgical Theater Virtual Reality surgical planning station.  Virtual models were evaluated </w:t>
      </w:r>
      <w:r w:rsidR="003D050E">
        <w:rPr>
          <w:sz w:val="18"/>
          <w:szCs w:val="18"/>
        </w:rPr>
        <w:t xml:space="preserve">pre-operatively </w:t>
      </w:r>
      <w:r w:rsidRPr="00DD208E">
        <w:rPr>
          <w:sz w:val="18"/>
          <w:szCs w:val="18"/>
        </w:rPr>
        <w:t>by surgeons and with patients/families in patient engagement sessions in the outpatient clinic.  Questionnaires were distributed to assess the technology’s impact on patient/fa</w:t>
      </w:r>
      <w:r w:rsidR="003D050E">
        <w:rPr>
          <w:sz w:val="18"/>
          <w:szCs w:val="18"/>
        </w:rPr>
        <w:t>mily understanding and anxiety. P</w:t>
      </w:r>
      <w:r w:rsidRPr="00DD208E">
        <w:rPr>
          <w:sz w:val="18"/>
          <w:szCs w:val="18"/>
        </w:rPr>
        <w:t>reliminary surgical plan</w:t>
      </w:r>
      <w:r w:rsidR="003D050E">
        <w:rPr>
          <w:sz w:val="18"/>
          <w:szCs w:val="18"/>
        </w:rPr>
        <w:t>s</w:t>
      </w:r>
      <w:r w:rsidRPr="00DD208E">
        <w:rPr>
          <w:sz w:val="18"/>
          <w:szCs w:val="18"/>
        </w:rPr>
        <w:t xml:space="preserve"> as designed </w:t>
      </w:r>
      <w:r w:rsidR="003D050E">
        <w:rPr>
          <w:sz w:val="18"/>
          <w:szCs w:val="18"/>
        </w:rPr>
        <w:t xml:space="preserve">by </w:t>
      </w:r>
      <w:r w:rsidRPr="00DD208E">
        <w:rPr>
          <w:sz w:val="18"/>
          <w:szCs w:val="18"/>
        </w:rPr>
        <w:t xml:space="preserve">standard two-dimensional </w:t>
      </w:r>
      <w:r w:rsidR="003D050E">
        <w:rPr>
          <w:sz w:val="18"/>
          <w:szCs w:val="18"/>
        </w:rPr>
        <w:t>reviews were often modified as a result of 360-degree v</w:t>
      </w:r>
      <w:r w:rsidR="003D050E" w:rsidRPr="00DD208E">
        <w:rPr>
          <w:sz w:val="18"/>
          <w:szCs w:val="18"/>
        </w:rPr>
        <w:t>irtual fly-</w:t>
      </w:r>
      <w:proofErr w:type="spellStart"/>
      <w:r w:rsidR="003D050E" w:rsidRPr="00DD208E">
        <w:rPr>
          <w:sz w:val="18"/>
          <w:szCs w:val="18"/>
        </w:rPr>
        <w:t>thr</w:t>
      </w:r>
      <w:r w:rsidR="003D050E">
        <w:rPr>
          <w:sz w:val="18"/>
          <w:szCs w:val="18"/>
        </w:rPr>
        <w:t>oughs</w:t>
      </w:r>
      <w:proofErr w:type="spellEnd"/>
      <w:r w:rsidRPr="00DD208E">
        <w:rPr>
          <w:sz w:val="18"/>
          <w:szCs w:val="18"/>
        </w:rPr>
        <w:t xml:space="preserve">.  </w:t>
      </w:r>
      <w:r w:rsidR="003D050E">
        <w:rPr>
          <w:sz w:val="18"/>
          <w:szCs w:val="18"/>
        </w:rPr>
        <w:t xml:space="preserve">Furthermore, </w:t>
      </w:r>
      <w:r w:rsidRPr="00DD208E">
        <w:rPr>
          <w:sz w:val="18"/>
          <w:szCs w:val="18"/>
        </w:rPr>
        <w:t xml:space="preserve">anatomy was </w:t>
      </w:r>
      <w:r w:rsidR="003D050E">
        <w:rPr>
          <w:sz w:val="18"/>
          <w:szCs w:val="18"/>
        </w:rPr>
        <w:t xml:space="preserve">often </w:t>
      </w:r>
      <w:r w:rsidRPr="00DD208E">
        <w:rPr>
          <w:sz w:val="18"/>
          <w:szCs w:val="18"/>
        </w:rPr>
        <w:t>visualized in three-dimensional viewing that was poorly-visualized in two-dimensional imaging. No significant delays were recorded as a result of VR analysis.  All patients and families reported increased understanding of their pathology and surgery as well as</w:t>
      </w:r>
      <w:r w:rsidR="00785305">
        <w:rPr>
          <w:sz w:val="18"/>
          <w:szCs w:val="18"/>
        </w:rPr>
        <w:t xml:space="preserve"> a</w:t>
      </w:r>
      <w:r w:rsidRPr="00DD208E">
        <w:rPr>
          <w:sz w:val="18"/>
          <w:szCs w:val="18"/>
        </w:rPr>
        <w:t xml:space="preserve"> </w:t>
      </w:r>
      <w:r w:rsidR="00785305">
        <w:rPr>
          <w:sz w:val="18"/>
          <w:szCs w:val="18"/>
        </w:rPr>
        <w:t>decrease in their anxiety</w:t>
      </w:r>
      <w:r w:rsidRPr="00DD208E">
        <w:rPr>
          <w:sz w:val="18"/>
          <w:szCs w:val="18"/>
        </w:rPr>
        <w:t xml:space="preserve">. Virtual planning is a useful adjunct in the preparation of neurosurgical procedures in children.  This immersive technology is an efficient, time-saving method for surgeons to visualize complex anatomic relationships.  </w:t>
      </w:r>
      <w:r w:rsidR="003D050E">
        <w:rPr>
          <w:sz w:val="18"/>
          <w:szCs w:val="18"/>
        </w:rPr>
        <w:t>VR can</w:t>
      </w:r>
      <w:r w:rsidRPr="00DD208E">
        <w:rPr>
          <w:sz w:val="18"/>
          <w:szCs w:val="18"/>
        </w:rPr>
        <w:t xml:space="preserve"> reveal </w:t>
      </w:r>
      <w:r w:rsidR="003D050E">
        <w:rPr>
          <w:sz w:val="18"/>
          <w:szCs w:val="18"/>
        </w:rPr>
        <w:t>anatomy</w:t>
      </w:r>
      <w:r w:rsidRPr="00DD208E">
        <w:rPr>
          <w:sz w:val="18"/>
          <w:szCs w:val="18"/>
        </w:rPr>
        <w:t xml:space="preserve"> that </w:t>
      </w:r>
      <w:r w:rsidR="003D050E">
        <w:rPr>
          <w:sz w:val="18"/>
          <w:szCs w:val="18"/>
        </w:rPr>
        <w:t>is</w:t>
      </w:r>
      <w:r w:rsidRPr="00DD208E">
        <w:rPr>
          <w:sz w:val="18"/>
          <w:szCs w:val="18"/>
        </w:rPr>
        <w:t xml:space="preserve"> poorly-represented or not visualized using conventional imaging reviews.  Coordination of intraoperative VR navigation is seamless with standard </w:t>
      </w:r>
      <w:proofErr w:type="spellStart"/>
      <w:r w:rsidRPr="00DD208E">
        <w:rPr>
          <w:sz w:val="18"/>
          <w:szCs w:val="18"/>
        </w:rPr>
        <w:t>neuronavigation</w:t>
      </w:r>
      <w:proofErr w:type="spellEnd"/>
      <w:r w:rsidRPr="00DD208E">
        <w:rPr>
          <w:sz w:val="18"/>
          <w:szCs w:val="18"/>
        </w:rPr>
        <w:t xml:space="preserve"> systems.  In addition to increased understanding of the diagnosis and treatment, pediatric patients and their parents report a significant reduction in anxiety levels as a result of their VR sessions.</w:t>
      </w:r>
    </w:p>
    <w:p w:rsidR="00DD208E" w:rsidRPr="00DD208E" w:rsidRDefault="00A9710C" w:rsidP="00DD208E">
      <w:pPr>
        <w:pStyle w:val="Heading3"/>
        <w:spacing w:before="74"/>
        <w:rPr>
          <w:color w:val="BF5A14"/>
        </w:rPr>
      </w:pPr>
      <w:r>
        <w:rPr>
          <w:b w:val="0"/>
        </w:rPr>
        <w:br w:type="column"/>
      </w:r>
      <w:r>
        <w:rPr>
          <w:color w:val="BF5A14"/>
        </w:rPr>
        <w:t>Image</w:t>
      </w:r>
    </w:p>
    <w:p w:rsidR="00AE3E37" w:rsidRDefault="000C7B25">
      <w:pPr>
        <w:pStyle w:val="BodyText"/>
        <w:spacing w:before="2"/>
        <w:rPr>
          <w:rFonts w:ascii="Arial"/>
          <w:b/>
          <w:sz w:val="16"/>
        </w:rPr>
      </w:pPr>
      <w:r>
        <w:rPr>
          <w:rFonts w:ascii="Arial"/>
          <w:b/>
          <w:noProof/>
          <w:sz w:val="16"/>
        </w:rPr>
        <w:drawing>
          <wp:inline distT="0" distB="0" distL="0" distR="0">
            <wp:extent cx="3377311" cy="2008094"/>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sakaAbstractFigur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79979" cy="2009681"/>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321C99" w:rsidRPr="00321C99" w:rsidRDefault="00321C99" w:rsidP="00DD208E">
      <w:pPr>
        <w:pStyle w:val="ListParagraph"/>
        <w:numPr>
          <w:ilvl w:val="0"/>
          <w:numId w:val="3"/>
        </w:numPr>
        <w:tabs>
          <w:tab w:val="left" w:pos="384"/>
        </w:tabs>
        <w:spacing w:before="103" w:line="216" w:lineRule="exact"/>
        <w:ind w:right="138" w:hanging="283"/>
        <w:rPr>
          <w:sz w:val="18"/>
        </w:rPr>
      </w:pPr>
      <w:r w:rsidRPr="00321C99">
        <w:rPr>
          <w:sz w:val="18"/>
        </w:rPr>
        <w:t>Collins MK, Ding VY, Ball RL, Dolc</w:t>
      </w:r>
      <w:r>
        <w:rPr>
          <w:sz w:val="18"/>
        </w:rPr>
        <w:t xml:space="preserve">e DL, Henderson JM, Halpern CH (2018) Novel application of virtual </w:t>
      </w:r>
      <w:proofErr w:type="spellStart"/>
      <w:r>
        <w:rPr>
          <w:sz w:val="18"/>
        </w:rPr>
        <w:t>reailty</w:t>
      </w:r>
      <w:proofErr w:type="spellEnd"/>
      <w:r>
        <w:rPr>
          <w:sz w:val="18"/>
        </w:rPr>
        <w:t xml:space="preserve"> in patient engagement for deep brain stimulation: a pilot study. Brain </w:t>
      </w:r>
      <w:proofErr w:type="spellStart"/>
      <w:r>
        <w:rPr>
          <w:sz w:val="18"/>
        </w:rPr>
        <w:t>Stimul</w:t>
      </w:r>
      <w:proofErr w:type="spellEnd"/>
      <w:r>
        <w:rPr>
          <w:sz w:val="18"/>
        </w:rPr>
        <w:t xml:space="preserve"> 11(4): 935-937.</w:t>
      </w:r>
    </w:p>
    <w:p w:rsidR="00321C99" w:rsidRDefault="00321C99" w:rsidP="00321C99">
      <w:pPr>
        <w:pStyle w:val="BodyText"/>
        <w:numPr>
          <w:ilvl w:val="0"/>
          <w:numId w:val="3"/>
        </w:numPr>
        <w:spacing w:before="85" w:line="216" w:lineRule="exact"/>
        <w:ind w:right="138"/>
        <w:jc w:val="both"/>
        <w:rPr>
          <w:rFonts w:ascii="Calibri" w:hAnsi="Calibri"/>
        </w:rPr>
      </w:pPr>
      <w:proofErr w:type="spellStart"/>
      <w:r>
        <w:rPr>
          <w:rFonts w:ascii="Calibri" w:hAnsi="Calibri"/>
        </w:rPr>
        <w:t>Kockro</w:t>
      </w:r>
      <w:proofErr w:type="spellEnd"/>
      <w:r>
        <w:rPr>
          <w:rFonts w:ascii="Calibri" w:hAnsi="Calibri"/>
        </w:rPr>
        <w:t xml:space="preserve"> RA, Killeen T, </w:t>
      </w:r>
      <w:proofErr w:type="spellStart"/>
      <w:r>
        <w:rPr>
          <w:rFonts w:ascii="Calibri" w:hAnsi="Calibri"/>
        </w:rPr>
        <w:t>Ayyad</w:t>
      </w:r>
      <w:proofErr w:type="spellEnd"/>
      <w:r>
        <w:rPr>
          <w:rFonts w:ascii="Calibri" w:hAnsi="Calibri"/>
        </w:rPr>
        <w:t xml:space="preserve"> A, Glaser M, </w:t>
      </w:r>
      <w:proofErr w:type="spellStart"/>
      <w:r>
        <w:rPr>
          <w:rFonts w:ascii="Calibri" w:hAnsi="Calibri"/>
        </w:rPr>
        <w:t>Stadie</w:t>
      </w:r>
      <w:proofErr w:type="spellEnd"/>
      <w:r>
        <w:rPr>
          <w:rFonts w:ascii="Calibri" w:hAnsi="Calibri"/>
        </w:rPr>
        <w:t xml:space="preserve"> A, </w:t>
      </w:r>
      <w:proofErr w:type="spellStart"/>
      <w:r>
        <w:rPr>
          <w:rFonts w:ascii="Calibri" w:hAnsi="Calibri"/>
        </w:rPr>
        <w:t>Reisch</w:t>
      </w:r>
      <w:proofErr w:type="spellEnd"/>
      <w:r>
        <w:rPr>
          <w:rFonts w:ascii="Calibri" w:hAnsi="Calibri"/>
        </w:rPr>
        <w:t xml:space="preserve"> R, Giese A, Schwandt E (2016) Aneurysm surgery with </w:t>
      </w:r>
      <w:proofErr w:type="spellStart"/>
      <w:r>
        <w:rPr>
          <w:rFonts w:ascii="Calibri" w:hAnsi="Calibri"/>
        </w:rPr>
        <w:t>preopereative</w:t>
      </w:r>
      <w:proofErr w:type="spellEnd"/>
      <w:r>
        <w:rPr>
          <w:rFonts w:ascii="Calibri" w:hAnsi="Calibri"/>
        </w:rPr>
        <w:t xml:space="preserve"> three-dimensional planning in a virtual reality environment: technique and outcome analysis. World </w:t>
      </w:r>
      <w:proofErr w:type="spellStart"/>
      <w:r>
        <w:rPr>
          <w:rFonts w:ascii="Calibri" w:hAnsi="Calibri"/>
        </w:rPr>
        <w:t>Neurosurg</w:t>
      </w:r>
      <w:proofErr w:type="spellEnd"/>
      <w:r>
        <w:rPr>
          <w:rFonts w:ascii="Calibri" w:hAnsi="Calibri"/>
        </w:rPr>
        <w:t xml:space="preserve"> 96: 489-99.</w:t>
      </w:r>
    </w:p>
    <w:p w:rsidR="00DD208E" w:rsidRPr="00321C99" w:rsidRDefault="00321C99" w:rsidP="00321C99">
      <w:pPr>
        <w:pStyle w:val="ListParagraph"/>
        <w:numPr>
          <w:ilvl w:val="0"/>
          <w:numId w:val="3"/>
        </w:numPr>
        <w:tabs>
          <w:tab w:val="left" w:pos="384"/>
        </w:tabs>
        <w:spacing w:before="103" w:line="216" w:lineRule="exact"/>
        <w:ind w:right="138" w:hanging="283"/>
        <w:rPr>
          <w:sz w:val="18"/>
        </w:rPr>
      </w:pPr>
      <w:r w:rsidRPr="00321C99">
        <w:rPr>
          <w:sz w:val="18"/>
        </w:rPr>
        <w:t xml:space="preserve">Kin T, </w:t>
      </w:r>
      <w:proofErr w:type="spellStart"/>
      <w:r w:rsidRPr="00321C99">
        <w:rPr>
          <w:sz w:val="18"/>
        </w:rPr>
        <w:t>Nakatomi</w:t>
      </w:r>
      <w:proofErr w:type="spellEnd"/>
      <w:r w:rsidRPr="00321C99">
        <w:rPr>
          <w:sz w:val="18"/>
        </w:rPr>
        <w:t xml:space="preserve"> H, </w:t>
      </w:r>
      <w:proofErr w:type="spellStart"/>
      <w:r w:rsidRPr="00321C99">
        <w:rPr>
          <w:sz w:val="18"/>
        </w:rPr>
        <w:t>Shono</w:t>
      </w:r>
      <w:proofErr w:type="spellEnd"/>
      <w:r w:rsidRPr="00321C99">
        <w:rPr>
          <w:sz w:val="18"/>
        </w:rPr>
        <w:t xml:space="preserve"> N, Nomura S, Saito T, </w:t>
      </w:r>
      <w:proofErr w:type="spellStart"/>
      <w:r w:rsidRPr="00321C99">
        <w:rPr>
          <w:sz w:val="18"/>
        </w:rPr>
        <w:t>Oyama</w:t>
      </w:r>
      <w:proofErr w:type="spellEnd"/>
      <w:r w:rsidRPr="00321C99">
        <w:rPr>
          <w:sz w:val="18"/>
        </w:rPr>
        <w:t xml:space="preserve"> H, Saito N (2017) Neurosurgical virtual reality simulation for brain tumor using high-definition computer graphics: a review of the literature. </w:t>
      </w:r>
      <w:proofErr w:type="spellStart"/>
      <w:r w:rsidRPr="00321C99">
        <w:rPr>
          <w:sz w:val="18"/>
        </w:rPr>
        <w:t>Neurol</w:t>
      </w:r>
      <w:proofErr w:type="spellEnd"/>
      <w:r w:rsidRPr="00321C99">
        <w:rPr>
          <w:sz w:val="18"/>
        </w:rPr>
        <w:t xml:space="preserve"> Med </w:t>
      </w:r>
      <w:proofErr w:type="spellStart"/>
      <w:r w:rsidRPr="00321C99">
        <w:rPr>
          <w:sz w:val="18"/>
        </w:rPr>
        <w:t>Chir</w:t>
      </w:r>
      <w:proofErr w:type="spellEnd"/>
      <w:r w:rsidRPr="00321C99">
        <w:rPr>
          <w:sz w:val="18"/>
        </w:rPr>
        <w:t xml:space="preserve"> (Tokyo) 57(10): 513-520.</w:t>
      </w:r>
    </w:p>
    <w:p w:rsidR="00DD208E" w:rsidRDefault="00321C99" w:rsidP="00DD208E">
      <w:pPr>
        <w:pStyle w:val="BodyText"/>
        <w:numPr>
          <w:ilvl w:val="0"/>
          <w:numId w:val="3"/>
        </w:numPr>
        <w:spacing w:before="85" w:line="216" w:lineRule="exact"/>
        <w:ind w:right="138"/>
        <w:jc w:val="both"/>
        <w:rPr>
          <w:rFonts w:ascii="Calibri" w:hAnsi="Calibri"/>
        </w:rPr>
      </w:pPr>
      <w:proofErr w:type="spellStart"/>
      <w:r>
        <w:rPr>
          <w:rFonts w:ascii="Calibri" w:hAnsi="Calibri"/>
        </w:rPr>
        <w:t>Ryu</w:t>
      </w:r>
      <w:proofErr w:type="spellEnd"/>
      <w:r>
        <w:rPr>
          <w:rFonts w:ascii="Calibri" w:hAnsi="Calibri"/>
        </w:rPr>
        <w:t xml:space="preserve"> JH, Park SJ, Park JW, Kim JW, </w:t>
      </w:r>
      <w:proofErr w:type="spellStart"/>
      <w:r>
        <w:rPr>
          <w:rFonts w:ascii="Calibri" w:hAnsi="Calibri"/>
        </w:rPr>
        <w:t>Yoo</w:t>
      </w:r>
      <w:proofErr w:type="spellEnd"/>
      <w:r>
        <w:rPr>
          <w:rFonts w:ascii="Calibri" w:hAnsi="Calibri"/>
        </w:rPr>
        <w:t xml:space="preserve"> HJ, Kim TW, Hong JS, Han SH (2017) Randomized clinical trial of immersive virtual reality tour of the operating theatre in children before </w:t>
      </w:r>
      <w:proofErr w:type="spellStart"/>
      <w:r>
        <w:rPr>
          <w:rFonts w:ascii="Calibri" w:hAnsi="Calibri"/>
        </w:rPr>
        <w:t>anaesthesia</w:t>
      </w:r>
      <w:proofErr w:type="spellEnd"/>
      <w:r>
        <w:rPr>
          <w:rFonts w:ascii="Calibri" w:hAnsi="Calibri"/>
        </w:rPr>
        <w:t xml:space="preserve">. Br J </w:t>
      </w:r>
      <w:proofErr w:type="spellStart"/>
      <w:r>
        <w:rPr>
          <w:rFonts w:ascii="Calibri" w:hAnsi="Calibri"/>
        </w:rPr>
        <w:t>Surg</w:t>
      </w:r>
      <w:proofErr w:type="spellEnd"/>
      <w:r>
        <w:rPr>
          <w:rFonts w:ascii="Calibri" w:hAnsi="Calibri"/>
        </w:rPr>
        <w:t xml:space="preserve"> 104(12): 1628-1633.</w:t>
      </w:r>
    </w:p>
    <w:p w:rsidR="005973B9" w:rsidRDefault="00321C99" w:rsidP="00DD208E">
      <w:pPr>
        <w:pStyle w:val="BodyText"/>
        <w:numPr>
          <w:ilvl w:val="0"/>
          <w:numId w:val="3"/>
        </w:numPr>
        <w:spacing w:before="85" w:line="216" w:lineRule="exact"/>
        <w:ind w:right="138"/>
        <w:jc w:val="both"/>
        <w:rPr>
          <w:rFonts w:ascii="Calibri" w:hAnsi="Calibri"/>
        </w:rPr>
      </w:pPr>
      <w:proofErr w:type="spellStart"/>
      <w:r>
        <w:rPr>
          <w:rFonts w:ascii="Calibri" w:hAnsi="Calibri"/>
        </w:rPr>
        <w:t>Bekelis</w:t>
      </w:r>
      <w:proofErr w:type="spellEnd"/>
      <w:r>
        <w:rPr>
          <w:rFonts w:ascii="Calibri" w:hAnsi="Calibri"/>
        </w:rPr>
        <w:t xml:space="preserve"> K, </w:t>
      </w:r>
      <w:proofErr w:type="spellStart"/>
      <w:r>
        <w:rPr>
          <w:rFonts w:ascii="Calibri" w:hAnsi="Calibri"/>
        </w:rPr>
        <w:t>Calnan</w:t>
      </w:r>
      <w:proofErr w:type="spellEnd"/>
      <w:r>
        <w:rPr>
          <w:rFonts w:ascii="Calibri" w:hAnsi="Calibri"/>
        </w:rPr>
        <w:t xml:space="preserve"> D, Simmons N, </w:t>
      </w:r>
      <w:proofErr w:type="spellStart"/>
      <w:r>
        <w:rPr>
          <w:rFonts w:ascii="Calibri" w:hAnsi="Calibri"/>
        </w:rPr>
        <w:t>MacKenzie</w:t>
      </w:r>
      <w:proofErr w:type="spellEnd"/>
      <w:r>
        <w:rPr>
          <w:rFonts w:ascii="Calibri" w:hAnsi="Calibri"/>
        </w:rPr>
        <w:t xml:space="preserve"> TA, </w:t>
      </w:r>
      <w:proofErr w:type="spellStart"/>
      <w:r>
        <w:rPr>
          <w:rFonts w:ascii="Calibri" w:hAnsi="Calibri"/>
        </w:rPr>
        <w:t>Kakoulides</w:t>
      </w:r>
      <w:proofErr w:type="spellEnd"/>
      <w:r>
        <w:rPr>
          <w:rFonts w:ascii="Calibri" w:hAnsi="Calibri"/>
        </w:rPr>
        <w:t xml:space="preserve"> G (2017) Effect of an Immersive Preoperative Virtual Reality Experience on Patient Reported Outcomes: A Randomized Controlled Trial. Ann </w:t>
      </w:r>
      <w:proofErr w:type="spellStart"/>
      <w:r>
        <w:rPr>
          <w:rFonts w:ascii="Calibri" w:hAnsi="Calibri"/>
        </w:rPr>
        <w:t>Surg</w:t>
      </w:r>
      <w:proofErr w:type="spellEnd"/>
      <w:r>
        <w:rPr>
          <w:rFonts w:ascii="Calibri" w:hAnsi="Calibri"/>
        </w:rPr>
        <w:t xml:space="preserve"> 265(6): 1068-1073.</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110636"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DD208E">
        <w:rPr>
          <w:rFonts w:ascii="Arial"/>
          <w:noProof/>
          <w:color w:val="BF5A14"/>
        </w:rPr>
        <w:drawing>
          <wp:inline distT="0" distB="0" distL="0" distR="0">
            <wp:extent cx="460188" cy="69028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guste_Kurti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413" cy="711619"/>
                    </a:xfrm>
                    <a:prstGeom prst="rect">
                      <a:avLst/>
                    </a:prstGeom>
                  </pic:spPr>
                </pic:pic>
              </a:graphicData>
            </a:graphic>
          </wp:inline>
        </w:drawing>
      </w:r>
      <w:r w:rsidR="00DD208E">
        <w:rPr>
          <w:noProof/>
        </w:rPr>
        <w:tab/>
      </w:r>
      <w:r w:rsidR="00A9710C">
        <w:rPr>
          <w:rFonts w:ascii="Arial"/>
          <w:color w:val="BF5A14"/>
        </w:rPr>
        <w:t>Biography</w:t>
      </w:r>
      <w:r w:rsidR="00404E5B">
        <w:rPr>
          <w:rFonts w:ascii="Arial"/>
          <w:color w:val="BF5A14"/>
        </w:rPr>
        <w:t xml:space="preserve"> </w:t>
      </w:r>
    </w:p>
    <w:p w:rsidR="00AE3E37" w:rsidRPr="00167871" w:rsidRDefault="00167871" w:rsidP="00167871">
      <w:pPr>
        <w:rPr>
          <w:rFonts w:asciiTheme="minorBidi" w:hAnsiTheme="minorBidi" w:cstheme="minorBidi"/>
          <w:sz w:val="14"/>
          <w:szCs w:val="14"/>
        </w:rPr>
      </w:pPr>
      <w:r w:rsidRPr="00167871">
        <w:rPr>
          <w:rFonts w:asciiTheme="minorBidi" w:hAnsiTheme="minorBidi" w:cstheme="minorBidi"/>
          <w:sz w:val="14"/>
          <w:szCs w:val="14"/>
        </w:rPr>
        <w:t xml:space="preserve">Dr. Kurtis Auguste graduated from Harvard University.  He conducted his medical training, internship and neurosurgery residency at the University of California, San Francisco School of Medicine.  He completed his pediatric neurosurgery fellowship at the Hospital for Sick Children in Toronto, Canada. Since 2008, he has directed the UCSF Pediatric Epilepsy Surgery Program.  He has been the Division Chief of Neurosurgery at the UCSF Benioff Children’s Hospital Oakland since 2014 and was elected Chief of Surgery in 2016.  His practice focuses on the </w:t>
      </w:r>
      <w:proofErr w:type="spellStart"/>
      <w:r w:rsidRPr="00167871">
        <w:rPr>
          <w:rFonts w:asciiTheme="minorBidi" w:hAnsiTheme="minorBidi" w:cstheme="minorBidi"/>
          <w:sz w:val="14"/>
          <w:szCs w:val="14"/>
        </w:rPr>
        <w:t>the</w:t>
      </w:r>
      <w:proofErr w:type="spellEnd"/>
      <w:r w:rsidRPr="00167871">
        <w:rPr>
          <w:rFonts w:asciiTheme="minorBidi" w:hAnsiTheme="minorBidi" w:cstheme="minorBidi"/>
          <w:sz w:val="14"/>
          <w:szCs w:val="14"/>
        </w:rPr>
        <w:t xml:space="preserve"> surgical management of pediatric seizure disorders, complex hydrocephalus, spinal </w:t>
      </w:r>
      <w:proofErr w:type="spellStart"/>
      <w:r w:rsidRPr="00167871">
        <w:rPr>
          <w:rFonts w:asciiTheme="minorBidi" w:hAnsiTheme="minorBidi" w:cstheme="minorBidi"/>
          <w:sz w:val="14"/>
          <w:szCs w:val="14"/>
        </w:rPr>
        <w:t>dysraphism</w:t>
      </w:r>
      <w:proofErr w:type="spellEnd"/>
      <w:r w:rsidRPr="00167871">
        <w:rPr>
          <w:rFonts w:asciiTheme="minorBidi" w:hAnsiTheme="minorBidi" w:cstheme="minorBidi"/>
          <w:sz w:val="14"/>
          <w:szCs w:val="14"/>
        </w:rPr>
        <w:t xml:space="preserve">, neuro-oncology, </w:t>
      </w:r>
      <w:proofErr w:type="spellStart"/>
      <w:r w:rsidRPr="00167871">
        <w:rPr>
          <w:rFonts w:asciiTheme="minorBidi" w:hAnsiTheme="minorBidi" w:cstheme="minorBidi"/>
          <w:sz w:val="14"/>
          <w:szCs w:val="14"/>
        </w:rPr>
        <w:t>neurotrauma</w:t>
      </w:r>
      <w:proofErr w:type="spellEnd"/>
      <w:r w:rsidRPr="00167871">
        <w:rPr>
          <w:rFonts w:asciiTheme="minorBidi" w:hAnsiTheme="minorBidi" w:cstheme="minorBidi"/>
          <w:sz w:val="14"/>
          <w:szCs w:val="14"/>
        </w:rPr>
        <w:t xml:space="preserve"> and craniofacial disorders.  His research interests have included neural stem cell transplantation for the study of central nervous system </w:t>
      </w:r>
      <w:proofErr w:type="spellStart"/>
      <w:r w:rsidRPr="00167871">
        <w:rPr>
          <w:rFonts w:asciiTheme="minorBidi" w:hAnsiTheme="minorBidi" w:cstheme="minorBidi"/>
          <w:sz w:val="14"/>
          <w:szCs w:val="14"/>
        </w:rPr>
        <w:t>migrational</w:t>
      </w:r>
      <w:proofErr w:type="spellEnd"/>
      <w:r w:rsidRPr="00167871">
        <w:rPr>
          <w:rFonts w:asciiTheme="minorBidi" w:hAnsiTheme="minorBidi" w:cstheme="minorBidi"/>
          <w:sz w:val="14"/>
          <w:szCs w:val="14"/>
        </w:rPr>
        <w:t xml:space="preserve"> disorders, the role of aquaporin water channels in hydrocephalus, seizure propagation and </w:t>
      </w:r>
      <w:proofErr w:type="spellStart"/>
      <w:r w:rsidRPr="00167871">
        <w:rPr>
          <w:rFonts w:asciiTheme="minorBidi" w:hAnsiTheme="minorBidi" w:cstheme="minorBidi"/>
          <w:sz w:val="14"/>
          <w:szCs w:val="14"/>
        </w:rPr>
        <w:t>astroglial</w:t>
      </w:r>
      <w:proofErr w:type="spellEnd"/>
      <w:r w:rsidRPr="00167871">
        <w:rPr>
          <w:rFonts w:asciiTheme="minorBidi" w:hAnsiTheme="minorBidi" w:cstheme="minorBidi"/>
          <w:sz w:val="14"/>
          <w:szCs w:val="14"/>
        </w:rPr>
        <w:t xml:space="preserve"> migration, and the use of immersive virtual reality imaging for pre-operative and intraoperative neurosurgical planning. </w:t>
      </w:r>
    </w:p>
    <w:p w:rsidR="00AE3E37" w:rsidRPr="009C1F64" w:rsidRDefault="00A9710C">
      <w:pPr>
        <w:spacing w:before="62"/>
        <w:ind w:left="4217" w:right="4235"/>
        <w:jc w:val="center"/>
        <w:rPr>
          <w:rFonts w:ascii="Arial"/>
          <w:sz w:val="14"/>
          <w:lang w:val="fr-FR"/>
        </w:rPr>
      </w:pPr>
      <w:proofErr w:type="gramStart"/>
      <w:r w:rsidRPr="009C1F64">
        <w:rPr>
          <w:rFonts w:ascii="Arial"/>
          <w:sz w:val="14"/>
          <w:lang w:val="fr-FR"/>
        </w:rPr>
        <w:t>Email:</w:t>
      </w:r>
      <w:proofErr w:type="gramEnd"/>
      <w:r w:rsidRPr="009C1F64">
        <w:rPr>
          <w:rFonts w:ascii="Arial"/>
          <w:sz w:val="14"/>
          <w:lang w:val="fr-FR"/>
        </w:rPr>
        <w:t xml:space="preserve"> </w:t>
      </w:r>
      <w:r w:rsidR="00DD208E">
        <w:rPr>
          <w:rFonts w:ascii="Arial"/>
          <w:sz w:val="14"/>
          <w:lang w:val="fr-FR"/>
        </w:rPr>
        <w:t>Kurtis.Auguste@ucsf.edu</w:t>
      </w:r>
    </w:p>
    <w:p w:rsidR="00AE3E37" w:rsidRPr="009C1F64" w:rsidRDefault="00292ED9">
      <w:pPr>
        <w:pStyle w:val="BodyText"/>
        <w:spacing w:before="2"/>
        <w:rPr>
          <w:rFonts w:ascii="Arial"/>
          <w:sz w:val="19"/>
          <w:lang w:val="fr-FR"/>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287F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Pr="009C1F64" w:rsidRDefault="00AE3E37">
      <w:pPr>
        <w:pStyle w:val="BodyText"/>
        <w:rPr>
          <w:rFonts w:ascii="Arial"/>
          <w:sz w:val="20"/>
          <w:lang w:val="fr-FR"/>
        </w:rPr>
      </w:pPr>
    </w:p>
    <w:p w:rsidR="00AE3E37" w:rsidRPr="009C1F64" w:rsidRDefault="00AE3E37">
      <w:pPr>
        <w:pStyle w:val="BodyText"/>
        <w:rPr>
          <w:rFonts w:ascii="Arial"/>
          <w:sz w:val="20"/>
          <w:lang w:val="fr-FR"/>
        </w:rPr>
      </w:pPr>
    </w:p>
    <w:p w:rsidR="00AE3E37" w:rsidRPr="009C1F64" w:rsidRDefault="00AE3E37">
      <w:pPr>
        <w:pStyle w:val="BodyText"/>
        <w:spacing w:before="7"/>
        <w:rPr>
          <w:rFonts w:ascii="Arial"/>
          <w:sz w:val="29"/>
          <w:lang w:val="fr-FR"/>
        </w:rPr>
      </w:pPr>
    </w:p>
    <w:p w:rsidR="00AE3E37" w:rsidRPr="009C1F64" w:rsidRDefault="00A9710C">
      <w:pPr>
        <w:spacing w:before="39"/>
        <w:ind w:left="100"/>
        <w:rPr>
          <w:rFonts w:ascii="Minion Pro"/>
          <w:b/>
          <w:sz w:val="20"/>
          <w:lang w:val="fr-FR"/>
        </w:rPr>
      </w:pPr>
      <w:r w:rsidRPr="009C1F64">
        <w:rPr>
          <w:rFonts w:ascii="Minion Pro"/>
          <w:b/>
          <w:sz w:val="20"/>
          <w:lang w:val="fr-FR"/>
        </w:rPr>
        <w:t>Notes/</w:t>
      </w:r>
      <w:proofErr w:type="spellStart"/>
      <w:proofErr w:type="gramStart"/>
      <w:r w:rsidRPr="009C1F64">
        <w:rPr>
          <w:rFonts w:ascii="Minion Pro"/>
          <w:b/>
          <w:sz w:val="20"/>
          <w:lang w:val="fr-FR"/>
        </w:rPr>
        <w:t>Comments</w:t>
      </w:r>
      <w:proofErr w:type="spellEnd"/>
      <w:r w:rsidRPr="009C1F64">
        <w:rPr>
          <w:rFonts w:ascii="Minion Pro"/>
          <w:b/>
          <w:sz w:val="20"/>
          <w:lang w:val="fr-FR"/>
        </w:rPr>
        <w:t>:</w:t>
      </w:r>
      <w:proofErr w:type="gramEnd"/>
    </w:p>
    <w:p w:rsidR="00AE3E37" w:rsidRPr="009C1F64" w:rsidRDefault="00AE3E37">
      <w:pPr>
        <w:rPr>
          <w:rFonts w:ascii="Minion Pro"/>
          <w:sz w:val="24"/>
          <w:lang w:val="fr-FR"/>
        </w:rPr>
        <w:sectPr w:rsidR="00AE3E37" w:rsidRPr="009C1F64">
          <w:type w:val="continuous"/>
          <w:pgSz w:w="11910" w:h="16840"/>
          <w:pgMar w:top="1740" w:right="600" w:bottom="840" w:left="620" w:header="720" w:footer="720" w:gutter="0"/>
          <w:cols w:space="720"/>
        </w:sectPr>
      </w:pPr>
    </w:p>
    <w:p w:rsidR="00AE3E37" w:rsidRPr="009C1F64" w:rsidRDefault="00AE3E37">
      <w:pPr>
        <w:pStyle w:val="BodyText"/>
        <w:spacing w:before="3"/>
        <w:rPr>
          <w:rFonts w:ascii="Minion Pro"/>
          <w:sz w:val="26"/>
          <w:lang w:val="fr-FR"/>
        </w:rPr>
      </w:pPr>
    </w:p>
    <w:sectPr w:rsidR="00AE3E37" w:rsidRPr="009C1F6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312A" w:rsidRDefault="006B312A">
      <w:r>
        <w:separator/>
      </w:r>
    </w:p>
  </w:endnote>
  <w:endnote w:type="continuationSeparator" w:id="0">
    <w:p w:rsidR="006B312A" w:rsidRDefault="006B3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201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312A" w:rsidRDefault="006B312A">
      <w:r>
        <w:separator/>
      </w:r>
    </w:p>
  </w:footnote>
  <w:footnote w:type="continuationSeparator" w:id="0">
    <w:p w:rsidR="006B312A" w:rsidRDefault="006B3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9C1F64" w:rsidRDefault="00A9710C">
                          <w:pPr>
                            <w:spacing w:before="2" w:line="249" w:lineRule="auto"/>
                            <w:ind w:left="156" w:right="18" w:hanging="137"/>
                            <w:rPr>
                              <w:rFonts w:ascii="Arial"/>
                              <w:color w:val="FFFFFF" w:themeColor="background1"/>
                              <w:sz w:val="14"/>
                              <w:lang w:val="fr-FR"/>
                            </w:rPr>
                          </w:pPr>
                          <w:r w:rsidRPr="009C1F64">
                            <w:rPr>
                              <w:rFonts w:ascii="Arial"/>
                              <w:color w:val="FFFFFF" w:themeColor="background1"/>
                              <w:sz w:val="14"/>
                              <w:lang w:val="fr-FR"/>
                            </w:rPr>
                            <w:t xml:space="preserve">T Furuta et al., J Pai n Relief 2016, </w:t>
                          </w:r>
                          <w:proofErr w:type="gramStart"/>
                          <w:r w:rsidRPr="009C1F64">
                            <w:rPr>
                              <w:rFonts w:ascii="Arial"/>
                              <w:color w:val="FFFFFF" w:themeColor="background1"/>
                              <w:sz w:val="14"/>
                              <w:lang w:val="fr-FR"/>
                            </w:rPr>
                            <w:t>5:</w:t>
                          </w:r>
                          <w:proofErr w:type="gramEnd"/>
                          <w:r w:rsidRPr="009C1F64">
                            <w:rPr>
                              <w:rFonts w:ascii="Arial"/>
                              <w:color w:val="FFFFFF" w:themeColor="background1"/>
                              <w:sz w:val="14"/>
                              <w:lang w:val="fr-FR"/>
                            </w:rPr>
                            <w:t>3(</w:t>
                          </w:r>
                          <w:proofErr w:type="spellStart"/>
                          <w:r w:rsidRPr="009C1F64">
                            <w:rPr>
                              <w:rFonts w:ascii="Arial"/>
                              <w:color w:val="FFFFFF" w:themeColor="background1"/>
                              <w:sz w:val="14"/>
                              <w:lang w:val="fr-FR"/>
                            </w:rPr>
                            <w:t>Suppl</w:t>
                          </w:r>
                          <w:proofErr w:type="spellEnd"/>
                          <w:r w:rsidRPr="009C1F64">
                            <w:rPr>
                              <w:rFonts w:ascii="Arial"/>
                              <w:color w:val="FFFFFF" w:themeColor="background1"/>
                              <w:sz w:val="14"/>
                              <w:lang w:val="fr-FR"/>
                            </w:rPr>
                            <w:t xml:space="preserve">) </w:t>
                          </w:r>
                          <w:hyperlink r:id="rId1">
                            <w:r w:rsidRPr="009C1F64">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9C1F64" w:rsidRDefault="00A9710C">
                    <w:pPr>
                      <w:spacing w:before="2" w:line="249" w:lineRule="auto"/>
                      <w:ind w:left="156" w:right="18" w:hanging="137"/>
                      <w:rPr>
                        <w:rFonts w:ascii="Arial"/>
                        <w:color w:val="FFFFFF" w:themeColor="background1"/>
                        <w:sz w:val="14"/>
                        <w:lang w:val="fr-FR"/>
                      </w:rPr>
                    </w:pPr>
                    <w:r w:rsidRPr="009C1F64">
                      <w:rPr>
                        <w:rFonts w:ascii="Arial"/>
                        <w:color w:val="FFFFFF" w:themeColor="background1"/>
                        <w:sz w:val="14"/>
                        <w:lang w:val="fr-FR"/>
                      </w:rPr>
                      <w:t xml:space="preserve">T Furuta et al., J Pai n Relief 2016, 5:3(Suppl) </w:t>
                    </w:r>
                    <w:r w:rsidR="00AE2D18">
                      <w:fldChar w:fldCharType="begin"/>
                    </w:r>
                    <w:r w:rsidR="00AE2D18" w:rsidRPr="009C1F64">
                      <w:rPr>
                        <w:lang w:val="fr-FR"/>
                      </w:rPr>
                      <w:instrText xml:space="preserve"> HYPERLINK "http://dx.doi.org/10.4172/2167-0846.C1.006" \h </w:instrText>
                    </w:r>
                    <w:r w:rsidR="00AE2D18">
                      <w:fldChar w:fldCharType="separate"/>
                    </w:r>
                    <w:r w:rsidRPr="009C1F64">
                      <w:rPr>
                        <w:rFonts w:ascii="Arial"/>
                        <w:color w:val="FFFFFF" w:themeColor="background1"/>
                        <w:sz w:val="14"/>
                        <w:lang w:val="fr-FR"/>
                      </w:rPr>
                      <w:t>http://dx.doi.org/10.4172/2167-0846.C1.006</w:t>
                    </w:r>
                    <w:r w:rsidR="00AE2D18">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B2ED1"/>
    <w:rsid w:val="000C7B25"/>
    <w:rsid w:val="000E2911"/>
    <w:rsid w:val="001263DF"/>
    <w:rsid w:val="00167871"/>
    <w:rsid w:val="001E763C"/>
    <w:rsid w:val="001F2C98"/>
    <w:rsid w:val="00292ED9"/>
    <w:rsid w:val="00314AFB"/>
    <w:rsid w:val="00321C99"/>
    <w:rsid w:val="00331F45"/>
    <w:rsid w:val="003B76D9"/>
    <w:rsid w:val="003D050E"/>
    <w:rsid w:val="00404E5B"/>
    <w:rsid w:val="00414F7B"/>
    <w:rsid w:val="004355DC"/>
    <w:rsid w:val="004749B4"/>
    <w:rsid w:val="00494130"/>
    <w:rsid w:val="004E7D90"/>
    <w:rsid w:val="004F3523"/>
    <w:rsid w:val="005973B9"/>
    <w:rsid w:val="005A7121"/>
    <w:rsid w:val="005B3A56"/>
    <w:rsid w:val="005D1F8D"/>
    <w:rsid w:val="006060CE"/>
    <w:rsid w:val="0063497F"/>
    <w:rsid w:val="006A2FBC"/>
    <w:rsid w:val="006B312A"/>
    <w:rsid w:val="00785305"/>
    <w:rsid w:val="0078738A"/>
    <w:rsid w:val="00873DF0"/>
    <w:rsid w:val="008756E6"/>
    <w:rsid w:val="009B2D44"/>
    <w:rsid w:val="009C1F64"/>
    <w:rsid w:val="00A07E82"/>
    <w:rsid w:val="00A157BF"/>
    <w:rsid w:val="00A9710C"/>
    <w:rsid w:val="00AE2D18"/>
    <w:rsid w:val="00AE3E37"/>
    <w:rsid w:val="00B21A57"/>
    <w:rsid w:val="00B34783"/>
    <w:rsid w:val="00C21279"/>
    <w:rsid w:val="00C33602"/>
    <w:rsid w:val="00CC6B64"/>
    <w:rsid w:val="00CD6F55"/>
    <w:rsid w:val="00D62425"/>
    <w:rsid w:val="00DD208E"/>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2D3261"/>
  <w15:docId w15:val="{8BB844DF-D57B-B841-B76A-9F8885729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706</Words>
  <Characters>4028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Kurtis Auguste</cp:lastModifiedBy>
  <cp:revision>5</cp:revision>
  <dcterms:created xsi:type="dcterms:W3CDTF">2018-08-04T18:18:00Z</dcterms:created>
  <dcterms:modified xsi:type="dcterms:W3CDTF">2018-08-06T01:42:00Z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