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D5975" w14:textId="03433AFC" w:rsidR="00ED1F1E" w:rsidRPr="00ED1F1E" w:rsidRDefault="00ED1F1E" w:rsidP="00ED1F1E">
      <w:pPr>
        <w:pStyle w:val="Corpodetexto"/>
        <w:spacing w:before="73" w:line="276" w:lineRule="auto"/>
        <w:ind w:left="142" w:right="200" w:hanging="42"/>
        <w:jc w:val="both"/>
        <w:rPr>
          <w:rFonts w:ascii="Minion Pro" w:eastAsia="Minion Pro" w:hAnsi="Minion Pro" w:cs="Minion Pro"/>
          <w:b/>
          <w:bCs/>
          <w:color w:val="337AB7"/>
          <w:sz w:val="34"/>
          <w:szCs w:val="34"/>
        </w:rPr>
      </w:pPr>
      <w:r w:rsidRPr="00ED1F1E">
        <w:rPr>
          <w:rFonts w:ascii="Minion Pro" w:eastAsia="Minion Pro" w:hAnsi="Minion Pro" w:cs="Minion Pro"/>
          <w:b/>
          <w:bCs/>
          <w:color w:val="337AB7"/>
          <w:sz w:val="34"/>
          <w:szCs w:val="34"/>
        </w:rPr>
        <w:t>Vomiting and Gastric Motility</w:t>
      </w:r>
      <w:r>
        <w:rPr>
          <w:rFonts w:ascii="Minion Pro" w:eastAsia="Minion Pro" w:hAnsi="Minion Pro" w:cs="Minion Pro"/>
          <w:b/>
          <w:bCs/>
          <w:color w:val="337AB7"/>
          <w:sz w:val="34"/>
          <w:szCs w:val="34"/>
        </w:rPr>
        <w:t xml:space="preserve"> </w:t>
      </w:r>
      <w:r w:rsidRPr="00ED1F1E">
        <w:rPr>
          <w:rFonts w:ascii="Minion Pro" w:eastAsia="Minion Pro" w:hAnsi="Minion Pro" w:cs="Minion Pro"/>
          <w:b/>
          <w:bCs/>
          <w:color w:val="337AB7"/>
          <w:sz w:val="34"/>
          <w:szCs w:val="34"/>
        </w:rPr>
        <w:t>in Early Brain Damaged</w:t>
      </w:r>
      <w:r>
        <w:rPr>
          <w:rFonts w:ascii="Minion Pro" w:eastAsia="Minion Pro" w:hAnsi="Minion Pro" w:cs="Minion Pro"/>
          <w:b/>
          <w:bCs/>
          <w:color w:val="337AB7"/>
          <w:sz w:val="34"/>
          <w:szCs w:val="34"/>
        </w:rPr>
        <w:t xml:space="preserve"> </w:t>
      </w:r>
      <w:r w:rsidRPr="00ED1F1E">
        <w:rPr>
          <w:rFonts w:ascii="Minion Pro" w:eastAsia="Minion Pro" w:hAnsi="Minion Pro" w:cs="Minion Pro"/>
          <w:b/>
          <w:bCs/>
          <w:color w:val="337AB7"/>
          <w:sz w:val="34"/>
          <w:szCs w:val="34"/>
        </w:rPr>
        <w:t>Children With</w:t>
      </w:r>
    </w:p>
    <w:p w14:paraId="58843743" w14:textId="6348DAAE" w:rsidR="00475552" w:rsidRPr="00ED1F1E" w:rsidRDefault="00ED1F1E" w:rsidP="00475552">
      <w:pPr>
        <w:pStyle w:val="Corpodetexto"/>
        <w:spacing w:before="73" w:line="276" w:lineRule="auto"/>
        <w:ind w:left="142" w:right="200" w:hanging="42"/>
        <w:jc w:val="both"/>
        <w:rPr>
          <w:rFonts w:ascii="Minion Pro" w:eastAsia="Minion Pro" w:hAnsi="Minion Pro" w:cs="Minion Pro"/>
          <w:b/>
          <w:bCs/>
          <w:color w:val="337AB7"/>
          <w:sz w:val="34"/>
          <w:szCs w:val="34"/>
          <w:lang w:val="pt-BR"/>
        </w:rPr>
      </w:pPr>
      <w:r w:rsidRPr="007A7538">
        <w:rPr>
          <w:rFonts w:ascii="Minion Pro" w:eastAsia="Minion Pro" w:hAnsi="Minion Pro" w:cs="Minion Pro"/>
          <w:b/>
          <w:bCs/>
          <w:color w:val="337AB7"/>
          <w:sz w:val="34"/>
          <w:szCs w:val="34"/>
        </w:rPr>
        <w:t xml:space="preserve"> </w:t>
      </w:r>
      <w:r w:rsidRPr="00ED1F1E">
        <w:rPr>
          <w:rFonts w:ascii="Minion Pro" w:eastAsia="Minion Pro" w:hAnsi="Minion Pro" w:cs="Minion Pro"/>
          <w:b/>
          <w:bCs/>
          <w:color w:val="337AB7"/>
          <w:sz w:val="34"/>
          <w:szCs w:val="34"/>
          <w:lang w:val="pt-BR"/>
        </w:rPr>
        <w:t xml:space="preserve">Congenital Zika </w:t>
      </w:r>
      <w:proofErr w:type="spellStart"/>
      <w:r w:rsidRPr="00ED1F1E">
        <w:rPr>
          <w:rFonts w:ascii="Minion Pro" w:eastAsia="Minion Pro" w:hAnsi="Minion Pro" w:cs="Minion Pro"/>
          <w:b/>
          <w:bCs/>
          <w:color w:val="337AB7"/>
          <w:sz w:val="34"/>
          <w:szCs w:val="34"/>
          <w:lang w:val="pt-BR"/>
        </w:rPr>
        <w:t>Syndrome</w:t>
      </w:r>
      <w:proofErr w:type="spellEnd"/>
      <w:r w:rsidRPr="00ED1F1E">
        <w:rPr>
          <w:rFonts w:ascii="Minion Pro" w:eastAsia="Minion Pro" w:hAnsi="Minion Pro" w:cs="Minion Pro"/>
          <w:b/>
          <w:bCs/>
          <w:color w:val="337AB7"/>
          <w:sz w:val="34"/>
          <w:szCs w:val="34"/>
          <w:lang w:val="pt-BR"/>
        </w:rPr>
        <w:t>.</w:t>
      </w:r>
    </w:p>
    <w:p w14:paraId="771B471A" w14:textId="561574A8" w:rsidR="00AE3E37" w:rsidRPr="00ED1F1E" w:rsidRDefault="00ED1F1E" w:rsidP="00ED1F1E">
      <w:pPr>
        <w:pStyle w:val="Corpodetexto"/>
        <w:rPr>
          <w:rFonts w:ascii="Arial"/>
          <w:lang w:val="pt-BR"/>
        </w:rPr>
      </w:pPr>
      <w:r w:rsidRPr="00ED1F1E">
        <w:rPr>
          <w:rFonts w:ascii="Arial"/>
          <w:lang w:val="pt-BR"/>
        </w:rPr>
        <w:t>*</w:t>
      </w:r>
      <w:r w:rsidRPr="00ED1F1E">
        <w:rPr>
          <w:rFonts w:ascii="Arial"/>
          <w:lang w:val="pt-BR"/>
        </w:rPr>
        <w:t>†‡</w:t>
      </w:r>
      <w:r w:rsidRPr="00ED1F1E">
        <w:rPr>
          <w:rFonts w:ascii="Arial"/>
          <w:lang w:val="pt-BR"/>
        </w:rPr>
        <w:t>Georgia Lima de Paula,</w:t>
      </w:r>
      <w:r w:rsidR="004C3666">
        <w:rPr>
          <w:rFonts w:ascii="Arial"/>
          <w:lang w:val="pt-BR"/>
        </w:rPr>
        <w:t xml:space="preserve"> </w:t>
      </w:r>
      <w:proofErr w:type="spellStart"/>
      <w:proofErr w:type="gramStart"/>
      <w:r w:rsidR="004C3666">
        <w:rPr>
          <w:rFonts w:ascii="Arial"/>
          <w:lang w:val="pt-BR"/>
        </w:rPr>
        <w:t>MSc</w:t>
      </w:r>
      <w:proofErr w:type="spellEnd"/>
      <w:r w:rsidR="004C3666">
        <w:rPr>
          <w:rFonts w:ascii="Arial"/>
          <w:lang w:val="pt-BR"/>
        </w:rPr>
        <w:t xml:space="preserve">; </w:t>
      </w:r>
      <w:r w:rsidRPr="00ED1F1E">
        <w:rPr>
          <w:rFonts w:ascii="Arial"/>
          <w:lang w:val="pt-BR"/>
        </w:rPr>
        <w:t xml:space="preserve"> *</w:t>
      </w:r>
      <w:proofErr w:type="spellStart"/>
      <w:proofErr w:type="gramEnd"/>
      <w:r w:rsidRPr="00ED1F1E">
        <w:rPr>
          <w:rFonts w:ascii="Arial"/>
          <w:lang w:val="pt-BR"/>
        </w:rPr>
        <w:t>Giselia</w:t>
      </w:r>
      <w:proofErr w:type="spellEnd"/>
      <w:r w:rsidRPr="00ED1F1E">
        <w:rPr>
          <w:rFonts w:ascii="Arial"/>
          <w:lang w:val="pt-BR"/>
        </w:rPr>
        <w:t xml:space="preserve"> Alves Pontes da Silva,</w:t>
      </w:r>
      <w:r w:rsidR="004C3666">
        <w:rPr>
          <w:rFonts w:ascii="Arial"/>
          <w:lang w:val="pt-BR"/>
        </w:rPr>
        <w:t xml:space="preserve"> PhD; </w:t>
      </w:r>
      <w:r w:rsidRPr="00ED1F1E">
        <w:rPr>
          <w:rFonts w:ascii="Arial"/>
          <w:lang w:val="pt-BR"/>
        </w:rPr>
        <w:t xml:space="preserve"> *</w:t>
      </w:r>
      <w:r w:rsidRPr="00ED1F1E">
        <w:rPr>
          <w:rFonts w:ascii="Arial"/>
          <w:lang w:val="pt-BR"/>
        </w:rPr>
        <w:t>‡</w:t>
      </w:r>
      <w:r w:rsidRPr="00ED1F1E">
        <w:rPr>
          <w:rFonts w:ascii="Arial"/>
          <w:lang w:val="pt-BR"/>
        </w:rPr>
        <w:t>Eduardo Just da Costa e Silva,</w:t>
      </w:r>
      <w:r w:rsidR="004C3666">
        <w:rPr>
          <w:rFonts w:ascii="Arial"/>
          <w:lang w:val="pt-BR"/>
        </w:rPr>
        <w:t xml:space="preserve"> </w:t>
      </w:r>
      <w:r w:rsidR="004C3666">
        <w:rPr>
          <w:rFonts w:ascii="Arial"/>
          <w:lang w:val="pt-BR"/>
        </w:rPr>
        <w:t>PhD</w:t>
      </w:r>
      <w:r w:rsidR="004C3666">
        <w:rPr>
          <w:rFonts w:ascii="Arial"/>
          <w:lang w:val="pt-BR"/>
        </w:rPr>
        <w:t>;</w:t>
      </w:r>
      <w:r w:rsidRPr="00ED1F1E">
        <w:rPr>
          <w:rFonts w:ascii="Arial"/>
          <w:lang w:val="pt-BR"/>
        </w:rPr>
        <w:t xml:space="preserve"> *Maria das </w:t>
      </w:r>
      <w:r w:rsidRPr="004805AA">
        <w:rPr>
          <w:rFonts w:ascii="Arial" w:hAnsi="Arial" w:cs="Arial"/>
          <w:lang w:val="pt-BR"/>
        </w:rPr>
        <w:t>Gra</w:t>
      </w:r>
      <w:r w:rsidR="004805AA" w:rsidRPr="004805AA">
        <w:rPr>
          <w:rFonts w:ascii="Arial" w:hAnsi="Arial" w:cs="Arial"/>
          <w:lang w:val="pt-BR"/>
        </w:rPr>
        <w:t>ç</w:t>
      </w:r>
      <w:r w:rsidRPr="004805AA">
        <w:rPr>
          <w:rFonts w:ascii="Arial" w:hAnsi="Arial" w:cs="Arial"/>
          <w:lang w:val="pt-BR"/>
        </w:rPr>
        <w:t>as</w:t>
      </w:r>
      <w:r w:rsidRPr="00ED1F1E">
        <w:rPr>
          <w:rFonts w:ascii="Arial"/>
          <w:lang w:val="pt-BR"/>
        </w:rPr>
        <w:t xml:space="preserve"> Moura Lins,</w:t>
      </w:r>
      <w:r w:rsidR="004C3666">
        <w:rPr>
          <w:rFonts w:ascii="Arial"/>
          <w:lang w:val="pt-BR"/>
        </w:rPr>
        <w:t xml:space="preserve"> </w:t>
      </w:r>
      <w:r w:rsidR="004C3666">
        <w:rPr>
          <w:rFonts w:ascii="Arial"/>
          <w:lang w:val="pt-BR"/>
        </w:rPr>
        <w:t>PhD</w:t>
      </w:r>
      <w:r w:rsidR="004C3666">
        <w:rPr>
          <w:rFonts w:ascii="Arial"/>
          <w:lang w:val="pt-BR"/>
        </w:rPr>
        <w:t>;</w:t>
      </w:r>
      <w:r w:rsidRPr="00ED1F1E">
        <w:rPr>
          <w:rFonts w:ascii="Arial"/>
          <w:lang w:val="pt-BR"/>
        </w:rPr>
        <w:t xml:space="preserve"> *Olga Sophia de Sousa Martins,</w:t>
      </w:r>
      <w:r w:rsidR="004C3666" w:rsidRPr="004C3666">
        <w:rPr>
          <w:rFonts w:ascii="Arial"/>
          <w:lang w:val="pt-BR"/>
        </w:rPr>
        <w:t xml:space="preserve"> </w:t>
      </w:r>
      <w:proofErr w:type="spellStart"/>
      <w:r w:rsidR="004C3666">
        <w:rPr>
          <w:rFonts w:ascii="Arial"/>
          <w:lang w:val="pt-BR"/>
        </w:rPr>
        <w:t>MSc</w:t>
      </w:r>
      <w:proofErr w:type="spellEnd"/>
      <w:r w:rsidR="004C3666">
        <w:rPr>
          <w:rFonts w:ascii="Arial"/>
          <w:lang w:val="pt-BR"/>
        </w:rPr>
        <w:t>;</w:t>
      </w:r>
      <w:r w:rsidRPr="00ED1F1E">
        <w:rPr>
          <w:rFonts w:ascii="Arial"/>
          <w:lang w:val="pt-BR"/>
        </w:rPr>
        <w:t xml:space="preserve"> *</w:t>
      </w:r>
      <w:r w:rsidRPr="00ED1F1E">
        <w:rPr>
          <w:rFonts w:ascii="Arial"/>
          <w:lang w:val="pt-BR"/>
        </w:rPr>
        <w:t>†</w:t>
      </w:r>
      <w:r w:rsidRPr="00ED1F1E">
        <w:rPr>
          <w:rFonts w:ascii="Arial"/>
          <w:lang w:val="pt-BR"/>
        </w:rPr>
        <w:t xml:space="preserve">Danielle Maria da Silva Oliveira, </w:t>
      </w:r>
      <w:proofErr w:type="spellStart"/>
      <w:r w:rsidR="004C3666">
        <w:rPr>
          <w:rFonts w:ascii="Arial"/>
          <w:lang w:val="pt-BR"/>
        </w:rPr>
        <w:t>MSc</w:t>
      </w:r>
      <w:proofErr w:type="spellEnd"/>
      <w:r w:rsidR="004C3666">
        <w:rPr>
          <w:rFonts w:ascii="Arial"/>
          <w:lang w:val="pt-BR"/>
        </w:rPr>
        <w:t xml:space="preserve">; </w:t>
      </w:r>
      <w:r w:rsidRPr="00ED1F1E">
        <w:rPr>
          <w:rFonts w:ascii="Arial"/>
          <w:lang w:val="pt-BR"/>
        </w:rPr>
        <w:t>*Eric de Santana Ferreira,</w:t>
      </w:r>
      <w:r w:rsidR="004C3666">
        <w:rPr>
          <w:rFonts w:ascii="Arial"/>
          <w:lang w:val="pt-BR"/>
        </w:rPr>
        <w:t xml:space="preserve"> MD</w:t>
      </w:r>
      <w:r w:rsidRPr="00ED1F1E">
        <w:rPr>
          <w:rFonts w:ascii="Arial"/>
          <w:lang w:val="pt-BR"/>
        </w:rPr>
        <w:t xml:space="preserve"> and *Margarida Maria de Castro Antunes</w:t>
      </w:r>
      <w:r w:rsidR="004C3666">
        <w:rPr>
          <w:rFonts w:ascii="Arial"/>
          <w:lang w:val="pt-BR"/>
        </w:rPr>
        <w:t>,</w:t>
      </w:r>
      <w:r w:rsidR="004C3666" w:rsidRPr="004C3666">
        <w:rPr>
          <w:rFonts w:ascii="Arial"/>
          <w:lang w:val="pt-BR"/>
        </w:rPr>
        <w:t xml:space="preserve"> </w:t>
      </w:r>
      <w:r w:rsidR="004C3666">
        <w:rPr>
          <w:rFonts w:ascii="Arial"/>
          <w:lang w:val="pt-BR"/>
        </w:rPr>
        <w:t>PhD</w:t>
      </w:r>
      <w:r w:rsidR="004C3666">
        <w:rPr>
          <w:rFonts w:ascii="Arial"/>
          <w:lang w:val="pt-BR"/>
        </w:rPr>
        <w:t>.</w:t>
      </w:r>
    </w:p>
    <w:p w14:paraId="6C839838" w14:textId="77777777" w:rsidR="00AE3E37" w:rsidRPr="00ED1F1E" w:rsidRDefault="00AE3E37">
      <w:pPr>
        <w:pStyle w:val="Corpodetexto"/>
        <w:spacing w:before="3"/>
        <w:rPr>
          <w:rFonts w:ascii="Arial"/>
          <w:sz w:val="21"/>
          <w:lang w:val="pt-BR"/>
        </w:rPr>
      </w:pPr>
    </w:p>
    <w:p w14:paraId="0F738C37" w14:textId="77777777" w:rsidR="00AE3E37" w:rsidRPr="00ED1F1E" w:rsidRDefault="00AE3E37">
      <w:pPr>
        <w:rPr>
          <w:rFonts w:ascii="Arial"/>
          <w:sz w:val="21"/>
          <w:lang w:val="pt-BR"/>
        </w:rPr>
        <w:sectPr w:rsidR="00AE3E37" w:rsidRPr="00ED1F1E" w:rsidSect="00ED1F1E">
          <w:headerReference w:type="default" r:id="rId7"/>
          <w:footerReference w:type="default" r:id="rId8"/>
          <w:type w:val="continuous"/>
          <w:pgSz w:w="11910" w:h="16840"/>
          <w:pgMar w:top="1768" w:right="600" w:bottom="840" w:left="620" w:header="541" w:footer="642" w:gutter="0"/>
          <w:cols w:space="720"/>
        </w:sectPr>
      </w:pPr>
    </w:p>
    <w:p w14:paraId="5ED6D4CC" w14:textId="1EB0CDB0" w:rsidR="00AE3E37" w:rsidRDefault="00A9710C">
      <w:pPr>
        <w:pStyle w:val="Ttulo3"/>
        <w:spacing w:before="147"/>
        <w:jc w:val="both"/>
      </w:pPr>
      <w:r>
        <w:rPr>
          <w:color w:val="BF5A14"/>
        </w:rPr>
        <w:t>Abstract</w:t>
      </w:r>
      <w:r w:rsidR="00404E5B">
        <w:rPr>
          <w:color w:val="BF5A14"/>
        </w:rPr>
        <w:t xml:space="preserve"> </w:t>
      </w:r>
    </w:p>
    <w:p w14:paraId="14AD815A" w14:textId="04AED6AD" w:rsidR="00904FE3" w:rsidRPr="00904FE3" w:rsidRDefault="00A9710C" w:rsidP="00904FE3">
      <w:pPr>
        <w:jc w:val="both"/>
        <w:rPr>
          <w:sz w:val="21"/>
          <w:szCs w:val="21"/>
        </w:rPr>
      </w:pPr>
      <w:r w:rsidRPr="00904FE3">
        <w:rPr>
          <w:sz w:val="21"/>
          <w:szCs w:val="21"/>
        </w:rPr>
        <w:t xml:space="preserve">Statement of the Problem: </w:t>
      </w:r>
      <w:r w:rsidR="005C705E" w:rsidRPr="00904FE3">
        <w:rPr>
          <w:sz w:val="21"/>
          <w:szCs w:val="21"/>
        </w:rPr>
        <w:t xml:space="preserve">Feeding difficulties are frequent in children with early brain damage and can be associated with dysphagia and motility disorders. In 2015, northeastern Brazil was the epicenter of an outbreak of microcephaly; its etiology was later defined as the Congenital Zika </w:t>
      </w:r>
      <w:r w:rsidR="007D12DE">
        <w:rPr>
          <w:sz w:val="21"/>
          <w:szCs w:val="21"/>
        </w:rPr>
        <w:t>S</w:t>
      </w:r>
      <w:r w:rsidR="005C705E" w:rsidRPr="00904FE3">
        <w:rPr>
          <w:sz w:val="21"/>
          <w:szCs w:val="21"/>
        </w:rPr>
        <w:t>yndrome (CZS), which affects the formation and functioning of several organs, especially the brain, given the neurotropism of the virus. This study investigated the occurrence of vomiting and gastric dysmotility in dysphagic children with</w:t>
      </w:r>
      <w:r w:rsidR="00B1405C">
        <w:rPr>
          <w:sz w:val="21"/>
          <w:szCs w:val="21"/>
        </w:rPr>
        <w:t xml:space="preserve"> </w:t>
      </w:r>
      <w:r w:rsidR="005C705E" w:rsidRPr="00904FE3">
        <w:rPr>
          <w:sz w:val="21"/>
          <w:szCs w:val="21"/>
        </w:rPr>
        <w:t>CZS and assessed possible associations of these findings with the severity of dysphagia and the presence of tube feeding.</w:t>
      </w:r>
      <w:r w:rsidR="005C705E" w:rsidRPr="00904FE3">
        <w:rPr>
          <w:sz w:val="21"/>
          <w:szCs w:val="21"/>
        </w:rPr>
        <w:t xml:space="preserve"> </w:t>
      </w:r>
      <w:r w:rsidRPr="00904FE3">
        <w:rPr>
          <w:sz w:val="21"/>
          <w:szCs w:val="21"/>
        </w:rPr>
        <w:t>Methodolog</w:t>
      </w:r>
      <w:r w:rsidR="0078738A" w:rsidRPr="00904FE3">
        <w:rPr>
          <w:sz w:val="21"/>
          <w:szCs w:val="21"/>
        </w:rPr>
        <w:t>y</w:t>
      </w:r>
      <w:r w:rsidR="005C705E" w:rsidRPr="00904FE3">
        <w:rPr>
          <w:sz w:val="21"/>
          <w:szCs w:val="21"/>
        </w:rPr>
        <w:t xml:space="preserve">: </w:t>
      </w:r>
      <w:r w:rsidR="005C705E" w:rsidRPr="00904FE3">
        <w:rPr>
          <w:sz w:val="21"/>
          <w:szCs w:val="21"/>
        </w:rPr>
        <w:t>Forty-six children with CZS were evaluated for the occurrence of dysphagia, vomiting, dietary volume intolerance and prolonged feeding time. Gastric antrum ultrasonography was used to detect the frequency of contractions and measure antral areas, from which the gastric emptying rate (GER) was calculated. Antral ultrasonography findings were compared with those of ten healthy controls. Vomiting and gastric motility were compared between CZS patients according to the severity of dysphagia and the requirement for tube feeding.</w:t>
      </w:r>
      <w:r w:rsidR="00904FE3" w:rsidRPr="00904FE3">
        <w:rPr>
          <w:sz w:val="21"/>
          <w:szCs w:val="21"/>
        </w:rPr>
        <w:t xml:space="preserve"> </w:t>
      </w:r>
      <w:r w:rsidRPr="00904FE3">
        <w:rPr>
          <w:sz w:val="21"/>
          <w:szCs w:val="21"/>
        </w:rPr>
        <w:t xml:space="preserve">Findings: </w:t>
      </w:r>
      <w:r w:rsidR="00904FE3" w:rsidRPr="00904FE3">
        <w:rPr>
          <w:sz w:val="21"/>
          <w:szCs w:val="21"/>
        </w:rPr>
        <w:t>Overall, 76% (35/46) of children with CZS had moderate-to-severe dysphagia (MSD), among whom 60% (21/35) were tube fed [MSD tube fed (MSDTF)]. Vomiting occurred in 54% (25/46) of children, whereas dietary volume intolerance and prolonged feeding time were observed in 59% (27/46) and 37% (17/46), respectively, most frequently in MSDTF patients. On ultrasound, 61% (28/46) of children with CZS had no antral contractions, whereas 90% (9/10) of controls did. Compared to healthy controls, GER was eight-fold lower in children with CZS and 60-fold lower in MSDTF children.</w:t>
      </w:r>
      <w:r w:rsidR="00904FE3" w:rsidRPr="00904FE3">
        <w:rPr>
          <w:sz w:val="21"/>
          <w:szCs w:val="21"/>
        </w:rPr>
        <w:t xml:space="preserve"> </w:t>
      </w:r>
      <w:r w:rsidRPr="00904FE3">
        <w:rPr>
          <w:sz w:val="21"/>
          <w:szCs w:val="21"/>
        </w:rPr>
        <w:t>Conclusion</w:t>
      </w:r>
      <w:r w:rsidR="00904FE3" w:rsidRPr="00904FE3">
        <w:rPr>
          <w:sz w:val="21"/>
          <w:szCs w:val="21"/>
        </w:rPr>
        <w:t xml:space="preserve">s: </w:t>
      </w:r>
      <w:r w:rsidR="00904FE3" w:rsidRPr="00904FE3">
        <w:rPr>
          <w:sz w:val="21"/>
          <w:szCs w:val="21"/>
        </w:rPr>
        <w:t>In dysphagic children with CZS, vomiting, volume intolerance, and prolonged feeding time were frequent and possibly associated with impaired antral contraction and delayed gastric emptying, especially in cases of severe dysphagia and tube feeding.</w:t>
      </w:r>
    </w:p>
    <w:p w14:paraId="72AE8680" w14:textId="23EDD47E" w:rsidR="00AE3E37" w:rsidRDefault="00AE3E37" w:rsidP="00904FE3">
      <w:pPr>
        <w:jc w:val="both"/>
      </w:pPr>
    </w:p>
    <w:p w14:paraId="75FDA349" w14:textId="1A403D07" w:rsidR="004C3666" w:rsidRPr="004C3666" w:rsidRDefault="004C3666" w:rsidP="004C3666">
      <w:pPr>
        <w:jc w:val="both"/>
        <w:rPr>
          <w:rFonts w:asciiTheme="minorHAnsi" w:hAnsiTheme="minorHAnsi" w:cstheme="minorHAnsi"/>
          <w:sz w:val="15"/>
          <w:szCs w:val="15"/>
          <w:lang w:val="pt-BR"/>
        </w:rPr>
      </w:pPr>
      <w:r w:rsidRPr="004C3666">
        <w:rPr>
          <w:rFonts w:asciiTheme="minorHAnsi" w:hAnsiTheme="minorHAnsi" w:cstheme="minorHAnsi"/>
          <w:sz w:val="15"/>
          <w:szCs w:val="15"/>
          <w:lang w:val="pt-BR"/>
        </w:rPr>
        <w:t xml:space="preserve">*Universidade Federal de Pernambuco (UFPE), Recife, PE, </w:t>
      </w:r>
      <w:proofErr w:type="spellStart"/>
      <w:r w:rsidRPr="004C3666">
        <w:rPr>
          <w:rFonts w:asciiTheme="minorHAnsi" w:hAnsiTheme="minorHAnsi" w:cstheme="minorHAnsi"/>
          <w:sz w:val="15"/>
          <w:szCs w:val="15"/>
          <w:lang w:val="pt-BR"/>
        </w:rPr>
        <w:t>Brazil</w:t>
      </w:r>
      <w:proofErr w:type="spellEnd"/>
      <w:r w:rsidRPr="004C3666">
        <w:rPr>
          <w:rFonts w:asciiTheme="minorHAnsi" w:hAnsiTheme="minorHAnsi" w:cstheme="minorHAnsi"/>
          <w:sz w:val="15"/>
          <w:szCs w:val="15"/>
          <w:lang w:val="pt-BR"/>
        </w:rPr>
        <w:t xml:space="preserve">, </w:t>
      </w:r>
      <w:proofErr w:type="spellStart"/>
      <w:r w:rsidRPr="004C3666">
        <w:rPr>
          <w:rFonts w:asciiTheme="minorHAnsi" w:hAnsiTheme="minorHAnsi" w:cstheme="minorHAnsi"/>
          <w:sz w:val="15"/>
          <w:szCs w:val="15"/>
          <w:lang w:val="pt-BR"/>
        </w:rPr>
        <w:t>the</w:t>
      </w:r>
      <w:proofErr w:type="spellEnd"/>
      <w:r w:rsidRPr="004C3666">
        <w:rPr>
          <w:rFonts w:asciiTheme="minorHAnsi" w:hAnsiTheme="minorHAnsi" w:cstheme="minorHAnsi"/>
          <w:sz w:val="15"/>
          <w:szCs w:val="15"/>
          <w:lang w:val="pt-BR"/>
        </w:rPr>
        <w:t xml:space="preserve"> †Universidade de Pernambuco (UPE), Recife, PE, </w:t>
      </w:r>
      <w:proofErr w:type="spellStart"/>
      <w:r w:rsidRPr="004C3666">
        <w:rPr>
          <w:rFonts w:asciiTheme="minorHAnsi" w:hAnsiTheme="minorHAnsi" w:cstheme="minorHAnsi"/>
          <w:sz w:val="15"/>
          <w:szCs w:val="15"/>
          <w:lang w:val="pt-BR"/>
        </w:rPr>
        <w:t>Brazil</w:t>
      </w:r>
      <w:proofErr w:type="spellEnd"/>
      <w:r w:rsidRPr="004C3666">
        <w:rPr>
          <w:rFonts w:asciiTheme="minorHAnsi" w:hAnsiTheme="minorHAnsi" w:cstheme="minorHAnsi"/>
          <w:sz w:val="15"/>
          <w:szCs w:val="15"/>
          <w:lang w:val="pt-BR"/>
        </w:rPr>
        <w:t xml:space="preserve">, </w:t>
      </w:r>
      <w:proofErr w:type="spellStart"/>
      <w:r w:rsidRPr="004C3666">
        <w:rPr>
          <w:rFonts w:asciiTheme="minorHAnsi" w:hAnsiTheme="minorHAnsi" w:cstheme="minorHAnsi"/>
          <w:sz w:val="15"/>
          <w:szCs w:val="15"/>
          <w:lang w:val="pt-BR"/>
        </w:rPr>
        <w:t>and</w:t>
      </w:r>
      <w:proofErr w:type="spellEnd"/>
      <w:r w:rsidRPr="004C3666">
        <w:rPr>
          <w:rFonts w:asciiTheme="minorHAnsi" w:hAnsiTheme="minorHAnsi" w:cstheme="minorHAnsi"/>
          <w:sz w:val="15"/>
          <w:szCs w:val="15"/>
          <w:lang w:val="pt-BR"/>
        </w:rPr>
        <w:t xml:space="preserve"> </w:t>
      </w:r>
      <w:proofErr w:type="spellStart"/>
      <w:r w:rsidRPr="004C3666">
        <w:rPr>
          <w:rFonts w:asciiTheme="minorHAnsi" w:hAnsiTheme="minorHAnsi" w:cstheme="minorHAnsi"/>
          <w:sz w:val="15"/>
          <w:szCs w:val="15"/>
          <w:lang w:val="pt-BR"/>
        </w:rPr>
        <w:t>the</w:t>
      </w:r>
      <w:proofErr w:type="spellEnd"/>
      <w:r w:rsidRPr="004C3666">
        <w:rPr>
          <w:rFonts w:asciiTheme="minorHAnsi" w:hAnsiTheme="minorHAnsi" w:cstheme="minorHAnsi"/>
          <w:sz w:val="15"/>
          <w:szCs w:val="15"/>
          <w:lang w:val="pt-BR"/>
        </w:rPr>
        <w:t xml:space="preserve"> ‡Instituto de Medicina Integral Professor Fernando Figueira (IMIP),</w:t>
      </w:r>
      <w:r w:rsidRPr="004C3666">
        <w:rPr>
          <w:rFonts w:asciiTheme="minorHAnsi" w:hAnsiTheme="minorHAnsi" w:cstheme="minorHAnsi"/>
          <w:sz w:val="15"/>
          <w:szCs w:val="15"/>
          <w:lang w:val="pt-BR"/>
        </w:rPr>
        <w:t xml:space="preserve"> </w:t>
      </w:r>
      <w:r w:rsidRPr="004C3666">
        <w:rPr>
          <w:rFonts w:asciiTheme="minorHAnsi" w:hAnsiTheme="minorHAnsi" w:cstheme="minorHAnsi"/>
          <w:sz w:val="15"/>
          <w:szCs w:val="15"/>
          <w:lang w:val="pt-BR"/>
        </w:rPr>
        <w:t xml:space="preserve">Recife, PE, </w:t>
      </w:r>
      <w:proofErr w:type="spellStart"/>
      <w:r w:rsidRPr="004C3666">
        <w:rPr>
          <w:rFonts w:asciiTheme="minorHAnsi" w:hAnsiTheme="minorHAnsi" w:cstheme="minorHAnsi"/>
          <w:sz w:val="15"/>
          <w:szCs w:val="15"/>
          <w:lang w:val="pt-BR"/>
        </w:rPr>
        <w:t>Brazil</w:t>
      </w:r>
      <w:proofErr w:type="spellEnd"/>
      <w:r w:rsidRPr="004C3666">
        <w:rPr>
          <w:rFonts w:asciiTheme="minorHAnsi" w:hAnsiTheme="minorHAnsi" w:cstheme="minorHAnsi"/>
          <w:sz w:val="15"/>
          <w:szCs w:val="15"/>
          <w:lang w:val="pt-BR"/>
        </w:rPr>
        <w:t>.</w:t>
      </w:r>
    </w:p>
    <w:p w14:paraId="2C6AC806" w14:textId="7CFA4124" w:rsidR="00AE3E37" w:rsidRPr="004C3666" w:rsidRDefault="00A9710C">
      <w:pPr>
        <w:pStyle w:val="Ttulo3"/>
        <w:spacing w:before="74"/>
        <w:rPr>
          <w:lang w:val="pt-BR"/>
        </w:rPr>
      </w:pPr>
      <w:r w:rsidRPr="004C3666">
        <w:rPr>
          <w:b w:val="0"/>
          <w:lang w:val="pt-BR"/>
        </w:rPr>
        <w:br w:type="column"/>
      </w:r>
    </w:p>
    <w:p w14:paraId="17885AD6" w14:textId="77777777" w:rsidR="00AE3E37" w:rsidRPr="004C3666" w:rsidRDefault="00A9710C">
      <w:pPr>
        <w:pStyle w:val="Corpodetexto"/>
        <w:spacing w:before="2"/>
        <w:rPr>
          <w:rFonts w:ascii="Arial"/>
          <w:b/>
          <w:sz w:val="16"/>
          <w:lang w:val="pt-BR"/>
        </w:rPr>
      </w:pPr>
      <w:r>
        <w:rPr>
          <w:noProof/>
          <w:lang w:val="en-IN" w:eastAsia="en-IN"/>
        </w:rPr>
        <w:drawing>
          <wp:anchor distT="0" distB="0" distL="0" distR="0" simplePos="0" relativeHeight="251658240" behindDoc="0" locked="0" layoutInCell="1" allowOverlap="1" wp14:anchorId="158D2CF3" wp14:editId="4201B157">
            <wp:simplePos x="0" y="0"/>
            <wp:positionH relativeFrom="page">
              <wp:posOffset>3890645</wp:posOffset>
            </wp:positionH>
            <wp:positionV relativeFrom="paragraph">
              <wp:posOffset>143510</wp:posOffset>
            </wp:positionV>
            <wp:extent cx="3199130" cy="1609725"/>
            <wp:effectExtent l="0" t="0" r="1270" b="317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9130" cy="1609725"/>
                    </a:xfrm>
                    <a:prstGeom prst="rect">
                      <a:avLst/>
                    </a:prstGeom>
                  </pic:spPr>
                </pic:pic>
              </a:graphicData>
            </a:graphic>
            <wp14:sizeRelH relativeFrom="margin">
              <wp14:pctWidth>0</wp14:pctWidth>
            </wp14:sizeRelH>
          </wp:anchor>
        </w:drawing>
      </w:r>
    </w:p>
    <w:p w14:paraId="6511703F" w14:textId="323F7E27" w:rsidR="005973B9" w:rsidRPr="004C3666" w:rsidRDefault="005973B9" w:rsidP="005973B9">
      <w:pPr>
        <w:spacing w:line="204" w:lineRule="exact"/>
        <w:rPr>
          <w:rFonts w:ascii="Arial"/>
          <w:b/>
          <w:sz w:val="20"/>
          <w:lang w:val="pt-BR"/>
        </w:rPr>
      </w:pPr>
      <w:r w:rsidRPr="004C3666">
        <w:rPr>
          <w:rFonts w:ascii="Arial"/>
          <w:b/>
          <w:color w:val="BF5A14"/>
          <w:sz w:val="20"/>
          <w:lang w:val="pt-BR"/>
        </w:rPr>
        <w:br/>
      </w:r>
      <w:proofErr w:type="spellStart"/>
      <w:r w:rsidR="007A7538" w:rsidRPr="004C3666">
        <w:rPr>
          <w:rFonts w:ascii="Arial"/>
          <w:b/>
          <w:color w:val="BF5A14"/>
          <w:sz w:val="20"/>
          <w:lang w:val="pt-BR"/>
        </w:rPr>
        <w:t>References</w:t>
      </w:r>
      <w:proofErr w:type="spellEnd"/>
    </w:p>
    <w:p w14:paraId="350CE3C8" w14:textId="77777777" w:rsidR="00475552" w:rsidRPr="007A7538" w:rsidRDefault="00475552" w:rsidP="005973B9">
      <w:pPr>
        <w:pStyle w:val="PargrafodaLista"/>
        <w:numPr>
          <w:ilvl w:val="0"/>
          <w:numId w:val="3"/>
        </w:numPr>
        <w:tabs>
          <w:tab w:val="left" w:pos="384"/>
        </w:tabs>
        <w:spacing w:line="216" w:lineRule="exact"/>
        <w:ind w:right="137" w:hanging="283"/>
        <w:rPr>
          <w:sz w:val="15"/>
          <w:szCs w:val="20"/>
        </w:rPr>
      </w:pPr>
      <w:r w:rsidRPr="007A7538">
        <w:rPr>
          <w:rFonts w:asciiTheme="minorHAnsi" w:hAnsiTheme="minorHAnsi" w:cstheme="minorHAnsi"/>
          <w:color w:val="212121"/>
          <w:sz w:val="15"/>
          <w:szCs w:val="15"/>
          <w:shd w:val="clear" w:color="auto" w:fill="FFFFFF"/>
          <w:lang w:val="pt-BR"/>
        </w:rPr>
        <w:t xml:space="preserve">de Paula GL, da Silva GAP, E Silva EJDC, Lins MDGM, Martins OSS, Oliveira DMDS, Ferreira ES, Antunes MMC. </w:t>
      </w:r>
      <w:r w:rsidRPr="007A7538">
        <w:rPr>
          <w:rFonts w:asciiTheme="minorHAnsi" w:hAnsiTheme="minorHAnsi" w:cstheme="minorHAnsi"/>
          <w:color w:val="212121"/>
          <w:sz w:val="15"/>
          <w:szCs w:val="15"/>
          <w:shd w:val="clear" w:color="auto" w:fill="FFFFFF"/>
        </w:rPr>
        <w:t xml:space="preserve">Vomiting and Gastric Motility in Early Brain Damaged Children </w:t>
      </w:r>
      <w:proofErr w:type="gramStart"/>
      <w:r w:rsidRPr="007A7538">
        <w:rPr>
          <w:rFonts w:asciiTheme="minorHAnsi" w:hAnsiTheme="minorHAnsi" w:cstheme="minorHAnsi"/>
          <w:color w:val="212121"/>
          <w:sz w:val="15"/>
          <w:szCs w:val="15"/>
          <w:shd w:val="clear" w:color="auto" w:fill="FFFFFF"/>
        </w:rPr>
        <w:t>With</w:t>
      </w:r>
      <w:proofErr w:type="gramEnd"/>
      <w:r w:rsidRPr="007A7538">
        <w:rPr>
          <w:rFonts w:asciiTheme="minorHAnsi" w:hAnsiTheme="minorHAnsi" w:cstheme="minorHAnsi"/>
          <w:color w:val="212121"/>
          <w:sz w:val="15"/>
          <w:szCs w:val="15"/>
          <w:shd w:val="clear" w:color="auto" w:fill="FFFFFF"/>
        </w:rPr>
        <w:t xml:space="preserve"> Congenital Zika Syndrome. J </w:t>
      </w:r>
      <w:proofErr w:type="spellStart"/>
      <w:r w:rsidRPr="007A7538">
        <w:rPr>
          <w:rFonts w:asciiTheme="minorHAnsi" w:hAnsiTheme="minorHAnsi" w:cstheme="minorHAnsi"/>
          <w:color w:val="212121"/>
          <w:sz w:val="15"/>
          <w:szCs w:val="15"/>
          <w:shd w:val="clear" w:color="auto" w:fill="FFFFFF"/>
        </w:rPr>
        <w:t>Pediatr</w:t>
      </w:r>
      <w:proofErr w:type="spellEnd"/>
      <w:r w:rsidRPr="007A7538">
        <w:rPr>
          <w:rFonts w:asciiTheme="minorHAnsi" w:hAnsiTheme="minorHAnsi" w:cstheme="minorHAnsi"/>
          <w:color w:val="212121"/>
          <w:sz w:val="15"/>
          <w:szCs w:val="15"/>
          <w:shd w:val="clear" w:color="auto" w:fill="FFFFFF"/>
        </w:rPr>
        <w:t xml:space="preserve"> Gastroenterol </w:t>
      </w:r>
      <w:proofErr w:type="spellStart"/>
      <w:r w:rsidRPr="007A7538">
        <w:rPr>
          <w:rFonts w:asciiTheme="minorHAnsi" w:hAnsiTheme="minorHAnsi" w:cstheme="minorHAnsi"/>
          <w:color w:val="212121"/>
          <w:sz w:val="15"/>
          <w:szCs w:val="15"/>
          <w:shd w:val="clear" w:color="auto" w:fill="FFFFFF"/>
        </w:rPr>
        <w:t>Nutr</w:t>
      </w:r>
      <w:proofErr w:type="spellEnd"/>
      <w:r w:rsidRPr="007A7538">
        <w:rPr>
          <w:rFonts w:asciiTheme="minorHAnsi" w:hAnsiTheme="minorHAnsi" w:cstheme="minorHAnsi"/>
          <w:color w:val="212121"/>
          <w:sz w:val="15"/>
          <w:szCs w:val="15"/>
          <w:shd w:val="clear" w:color="auto" w:fill="FFFFFF"/>
        </w:rPr>
        <w:t xml:space="preserve">. 2022 Aug 1;75(2):159-165. </w:t>
      </w:r>
      <w:proofErr w:type="spellStart"/>
      <w:r w:rsidRPr="007A7538">
        <w:rPr>
          <w:rFonts w:asciiTheme="minorHAnsi" w:hAnsiTheme="minorHAnsi" w:cstheme="minorHAnsi"/>
          <w:color w:val="212121"/>
          <w:sz w:val="15"/>
          <w:szCs w:val="15"/>
          <w:shd w:val="clear" w:color="auto" w:fill="FFFFFF"/>
        </w:rPr>
        <w:t>doi</w:t>
      </w:r>
      <w:proofErr w:type="spellEnd"/>
      <w:r w:rsidRPr="007A7538">
        <w:rPr>
          <w:rFonts w:asciiTheme="minorHAnsi" w:hAnsiTheme="minorHAnsi" w:cstheme="minorHAnsi"/>
          <w:color w:val="212121"/>
          <w:sz w:val="15"/>
          <w:szCs w:val="15"/>
          <w:shd w:val="clear" w:color="auto" w:fill="FFFFFF"/>
        </w:rPr>
        <w:t xml:space="preserve">: 10.1097/MPG.0000000000003504. </w:t>
      </w:r>
      <w:proofErr w:type="spellStart"/>
      <w:r w:rsidRPr="007A7538">
        <w:rPr>
          <w:rFonts w:asciiTheme="minorHAnsi" w:hAnsiTheme="minorHAnsi" w:cstheme="minorHAnsi"/>
          <w:color w:val="212121"/>
          <w:sz w:val="15"/>
          <w:szCs w:val="15"/>
          <w:shd w:val="clear" w:color="auto" w:fill="FFFFFF"/>
        </w:rPr>
        <w:t>Epub</w:t>
      </w:r>
      <w:proofErr w:type="spellEnd"/>
      <w:r w:rsidRPr="007A7538">
        <w:rPr>
          <w:rFonts w:asciiTheme="minorHAnsi" w:hAnsiTheme="minorHAnsi" w:cstheme="minorHAnsi"/>
          <w:color w:val="212121"/>
          <w:sz w:val="15"/>
          <w:szCs w:val="15"/>
          <w:shd w:val="clear" w:color="auto" w:fill="FFFFFF"/>
        </w:rPr>
        <w:t xml:space="preserve"> 2022 Jun 1. PMID: 35653500.</w:t>
      </w:r>
    </w:p>
    <w:p w14:paraId="07C6770B" w14:textId="6C72319A" w:rsidR="00475552" w:rsidRPr="007A7538" w:rsidRDefault="00475552" w:rsidP="00475552">
      <w:pPr>
        <w:pStyle w:val="PargrafodaLista"/>
        <w:numPr>
          <w:ilvl w:val="0"/>
          <w:numId w:val="3"/>
        </w:numPr>
        <w:tabs>
          <w:tab w:val="left" w:pos="384"/>
        </w:tabs>
        <w:spacing w:line="216" w:lineRule="exact"/>
        <w:ind w:right="138"/>
        <w:rPr>
          <w:sz w:val="15"/>
          <w:szCs w:val="20"/>
        </w:rPr>
      </w:pPr>
      <w:r w:rsidRPr="007A7538">
        <w:rPr>
          <w:sz w:val="15"/>
          <w:szCs w:val="20"/>
          <w:lang w:val="pt-BR"/>
        </w:rPr>
        <w:t xml:space="preserve">Oliveira DM da S, Miranda-Filho D de B, Ximenes RA de A, et al. </w:t>
      </w:r>
      <w:r w:rsidRPr="007A7538">
        <w:rPr>
          <w:sz w:val="15"/>
          <w:szCs w:val="20"/>
        </w:rPr>
        <w:t xml:space="preserve">Comparison of oropharyngeal dysphagia in Brazilian children with </w:t>
      </w:r>
      <w:proofErr w:type="gramStart"/>
      <w:r w:rsidRPr="007A7538">
        <w:rPr>
          <w:sz w:val="15"/>
          <w:szCs w:val="20"/>
        </w:rPr>
        <w:t>pre-natal</w:t>
      </w:r>
      <w:proofErr w:type="gramEnd"/>
      <w:r w:rsidRPr="007A7538">
        <w:rPr>
          <w:sz w:val="15"/>
          <w:szCs w:val="20"/>
        </w:rPr>
        <w:t xml:space="preserve"> exposure to Zika virus, with and without microcephaly. </w:t>
      </w:r>
      <w:proofErr w:type="gramStart"/>
      <w:r w:rsidRPr="007A7538">
        <w:rPr>
          <w:sz w:val="15"/>
          <w:szCs w:val="20"/>
        </w:rPr>
        <w:t>Dysphagia[</w:t>
      </w:r>
      <w:proofErr w:type="gramEnd"/>
      <w:r w:rsidRPr="007A7538">
        <w:rPr>
          <w:sz w:val="15"/>
          <w:szCs w:val="20"/>
        </w:rPr>
        <w:t xml:space="preserve">Internet]. </w:t>
      </w:r>
      <w:proofErr w:type="gramStart"/>
      <w:r w:rsidRPr="007A7538">
        <w:rPr>
          <w:sz w:val="15"/>
          <w:szCs w:val="20"/>
        </w:rPr>
        <w:t>2021;36:583</w:t>
      </w:r>
      <w:proofErr w:type="gramEnd"/>
      <w:r w:rsidRPr="007A7538">
        <w:rPr>
          <w:sz w:val="15"/>
          <w:szCs w:val="20"/>
        </w:rPr>
        <w:t>–94. Available from: https://doi.org/10.1007/s00455-020-10173-4.</w:t>
      </w:r>
    </w:p>
    <w:p w14:paraId="5850BD7B" w14:textId="48D75E75" w:rsidR="00475552" w:rsidRPr="007A7538" w:rsidRDefault="00475552" w:rsidP="00475552">
      <w:pPr>
        <w:pStyle w:val="PargrafodaLista"/>
        <w:numPr>
          <w:ilvl w:val="0"/>
          <w:numId w:val="3"/>
        </w:numPr>
        <w:tabs>
          <w:tab w:val="left" w:pos="384"/>
        </w:tabs>
        <w:spacing w:line="216" w:lineRule="exact"/>
        <w:ind w:right="138"/>
        <w:rPr>
          <w:sz w:val="15"/>
          <w:szCs w:val="20"/>
        </w:rPr>
      </w:pPr>
      <w:r w:rsidRPr="007A7538">
        <w:rPr>
          <w:sz w:val="15"/>
          <w:szCs w:val="20"/>
        </w:rPr>
        <w:t xml:space="preserve">Moore CA, Staples JE, Dobyns WB, et al. Characterizing the pattern of anomalies in congenital Zika syndrome for pediatric clinicians. JAMA </w:t>
      </w:r>
      <w:proofErr w:type="spellStart"/>
      <w:r w:rsidRPr="007A7538">
        <w:rPr>
          <w:sz w:val="15"/>
          <w:szCs w:val="20"/>
        </w:rPr>
        <w:t>Pediatr</w:t>
      </w:r>
      <w:proofErr w:type="spellEnd"/>
      <w:r w:rsidRPr="007A7538">
        <w:rPr>
          <w:sz w:val="15"/>
          <w:szCs w:val="20"/>
        </w:rPr>
        <w:t xml:space="preserve">. </w:t>
      </w:r>
      <w:proofErr w:type="gramStart"/>
      <w:r w:rsidRPr="007A7538">
        <w:rPr>
          <w:sz w:val="15"/>
          <w:szCs w:val="20"/>
        </w:rPr>
        <w:t>2017;171:288</w:t>
      </w:r>
      <w:proofErr w:type="gramEnd"/>
      <w:r w:rsidRPr="007A7538">
        <w:rPr>
          <w:sz w:val="15"/>
          <w:szCs w:val="20"/>
        </w:rPr>
        <w:t>–95.</w:t>
      </w:r>
    </w:p>
    <w:p w14:paraId="4137917B" w14:textId="3875203A" w:rsidR="00475552" w:rsidRPr="007A7538" w:rsidRDefault="00475552" w:rsidP="00475552">
      <w:pPr>
        <w:pStyle w:val="PargrafodaLista"/>
        <w:numPr>
          <w:ilvl w:val="0"/>
          <w:numId w:val="3"/>
        </w:numPr>
        <w:tabs>
          <w:tab w:val="left" w:pos="384"/>
        </w:tabs>
        <w:spacing w:line="216" w:lineRule="exact"/>
        <w:ind w:right="138"/>
        <w:rPr>
          <w:sz w:val="15"/>
          <w:szCs w:val="20"/>
        </w:rPr>
      </w:pPr>
      <w:proofErr w:type="spellStart"/>
      <w:r w:rsidRPr="007A7538">
        <w:rPr>
          <w:sz w:val="15"/>
          <w:szCs w:val="20"/>
        </w:rPr>
        <w:t>Kapogiannis</w:t>
      </w:r>
      <w:proofErr w:type="spellEnd"/>
      <w:r w:rsidRPr="007A7538">
        <w:rPr>
          <w:sz w:val="15"/>
          <w:szCs w:val="20"/>
        </w:rPr>
        <w:t xml:space="preserve"> BG, </w:t>
      </w:r>
      <w:proofErr w:type="spellStart"/>
      <w:r w:rsidRPr="007A7538">
        <w:rPr>
          <w:sz w:val="15"/>
          <w:szCs w:val="20"/>
        </w:rPr>
        <w:t>Chakhtoura</w:t>
      </w:r>
      <w:proofErr w:type="spellEnd"/>
      <w:r w:rsidRPr="007A7538">
        <w:rPr>
          <w:sz w:val="15"/>
          <w:szCs w:val="20"/>
        </w:rPr>
        <w:t xml:space="preserve"> N, </w:t>
      </w:r>
      <w:proofErr w:type="spellStart"/>
      <w:r w:rsidRPr="007A7538">
        <w:rPr>
          <w:sz w:val="15"/>
          <w:szCs w:val="20"/>
        </w:rPr>
        <w:t>Hazra</w:t>
      </w:r>
      <w:proofErr w:type="spellEnd"/>
      <w:r w:rsidRPr="007A7538">
        <w:rPr>
          <w:sz w:val="15"/>
          <w:szCs w:val="20"/>
        </w:rPr>
        <w:t xml:space="preserve"> R, et al. Bridging </w:t>
      </w:r>
      <w:proofErr w:type="spellStart"/>
      <w:r w:rsidRPr="007A7538">
        <w:rPr>
          <w:sz w:val="15"/>
          <w:szCs w:val="20"/>
        </w:rPr>
        <w:t>knowledgegaps</w:t>
      </w:r>
      <w:proofErr w:type="spellEnd"/>
      <w:r w:rsidRPr="007A7538">
        <w:rPr>
          <w:sz w:val="15"/>
          <w:szCs w:val="20"/>
        </w:rPr>
        <w:t xml:space="preserve"> to understand how Zika virus exposure and infection affect child development. JAMA </w:t>
      </w:r>
      <w:proofErr w:type="spellStart"/>
      <w:r w:rsidRPr="007A7538">
        <w:rPr>
          <w:sz w:val="15"/>
          <w:szCs w:val="20"/>
        </w:rPr>
        <w:t>Pediatr</w:t>
      </w:r>
      <w:proofErr w:type="spellEnd"/>
      <w:r w:rsidRPr="007A7538">
        <w:rPr>
          <w:sz w:val="15"/>
          <w:szCs w:val="20"/>
        </w:rPr>
        <w:t xml:space="preserve">. </w:t>
      </w:r>
      <w:proofErr w:type="gramStart"/>
      <w:r w:rsidRPr="007A7538">
        <w:rPr>
          <w:sz w:val="15"/>
          <w:szCs w:val="20"/>
        </w:rPr>
        <w:t>2017;171:478</w:t>
      </w:r>
      <w:proofErr w:type="gramEnd"/>
      <w:r w:rsidRPr="007A7538">
        <w:rPr>
          <w:sz w:val="15"/>
          <w:szCs w:val="20"/>
        </w:rPr>
        <w:t>–85.</w:t>
      </w:r>
    </w:p>
    <w:p w14:paraId="00622884" w14:textId="73E5BFA7" w:rsidR="00475552" w:rsidRPr="007A7538" w:rsidRDefault="00475552" w:rsidP="00475552">
      <w:pPr>
        <w:pStyle w:val="PargrafodaLista"/>
        <w:numPr>
          <w:ilvl w:val="0"/>
          <w:numId w:val="3"/>
        </w:numPr>
        <w:tabs>
          <w:tab w:val="left" w:pos="384"/>
        </w:tabs>
        <w:spacing w:line="216" w:lineRule="exact"/>
        <w:ind w:right="138"/>
        <w:rPr>
          <w:sz w:val="15"/>
          <w:szCs w:val="20"/>
        </w:rPr>
      </w:pPr>
      <w:r w:rsidRPr="007A7538">
        <w:rPr>
          <w:sz w:val="15"/>
          <w:szCs w:val="20"/>
        </w:rPr>
        <w:t xml:space="preserve">Romano C, </w:t>
      </w:r>
      <w:proofErr w:type="spellStart"/>
      <w:r w:rsidRPr="007A7538">
        <w:rPr>
          <w:sz w:val="15"/>
          <w:szCs w:val="20"/>
        </w:rPr>
        <w:t>Dipasquale</w:t>
      </w:r>
      <w:proofErr w:type="spellEnd"/>
      <w:r w:rsidRPr="007A7538">
        <w:rPr>
          <w:sz w:val="15"/>
          <w:szCs w:val="20"/>
        </w:rPr>
        <w:t xml:space="preserve"> V, </w:t>
      </w:r>
      <w:proofErr w:type="spellStart"/>
      <w:r w:rsidRPr="007A7538">
        <w:rPr>
          <w:sz w:val="15"/>
          <w:szCs w:val="20"/>
        </w:rPr>
        <w:t>Gottrand</w:t>
      </w:r>
      <w:proofErr w:type="spellEnd"/>
      <w:r w:rsidRPr="007A7538">
        <w:rPr>
          <w:sz w:val="15"/>
          <w:szCs w:val="20"/>
        </w:rPr>
        <w:t xml:space="preserve"> F, et al. Gastrointestinal and nutritional issues in children with neurological disability. Dev Med Child Neurol. </w:t>
      </w:r>
      <w:proofErr w:type="gramStart"/>
      <w:r w:rsidRPr="007A7538">
        <w:rPr>
          <w:sz w:val="15"/>
          <w:szCs w:val="20"/>
        </w:rPr>
        <w:t>2018;60:892</w:t>
      </w:r>
      <w:proofErr w:type="gramEnd"/>
      <w:r w:rsidRPr="007A7538">
        <w:rPr>
          <w:sz w:val="15"/>
          <w:szCs w:val="20"/>
        </w:rPr>
        <w:t>–6.</w:t>
      </w:r>
    </w:p>
    <w:p w14:paraId="4FF65A49" w14:textId="4619C982" w:rsidR="00475552" w:rsidRPr="007A7538" w:rsidRDefault="00475552" w:rsidP="00475552">
      <w:pPr>
        <w:pStyle w:val="PargrafodaLista"/>
        <w:numPr>
          <w:ilvl w:val="0"/>
          <w:numId w:val="3"/>
        </w:numPr>
        <w:tabs>
          <w:tab w:val="left" w:pos="384"/>
        </w:tabs>
        <w:spacing w:line="216" w:lineRule="exact"/>
        <w:ind w:right="138"/>
        <w:rPr>
          <w:sz w:val="15"/>
          <w:szCs w:val="20"/>
        </w:rPr>
      </w:pPr>
      <w:proofErr w:type="spellStart"/>
      <w:r w:rsidRPr="007A7538">
        <w:rPr>
          <w:sz w:val="15"/>
          <w:szCs w:val="20"/>
          <w:lang w:val="pt-BR"/>
        </w:rPr>
        <w:t>Devanarayana</w:t>
      </w:r>
      <w:proofErr w:type="spellEnd"/>
      <w:r w:rsidRPr="007A7538">
        <w:rPr>
          <w:sz w:val="15"/>
          <w:szCs w:val="20"/>
          <w:lang w:val="pt-BR"/>
        </w:rPr>
        <w:t xml:space="preserve"> NM, </w:t>
      </w:r>
      <w:proofErr w:type="spellStart"/>
      <w:r w:rsidRPr="007A7538">
        <w:rPr>
          <w:sz w:val="15"/>
          <w:szCs w:val="20"/>
          <w:lang w:val="pt-BR"/>
        </w:rPr>
        <w:t>Rajindrajith</w:t>
      </w:r>
      <w:proofErr w:type="spellEnd"/>
      <w:r w:rsidRPr="007A7538">
        <w:rPr>
          <w:sz w:val="15"/>
          <w:szCs w:val="20"/>
          <w:lang w:val="pt-BR"/>
        </w:rPr>
        <w:t xml:space="preserve"> S, Bandara C, et al. </w:t>
      </w:r>
      <w:r w:rsidRPr="007A7538">
        <w:rPr>
          <w:sz w:val="15"/>
          <w:szCs w:val="20"/>
        </w:rPr>
        <w:t xml:space="preserve">Ultrasonographic assessment of liquid gastric emptying and antral motility according to the subtypes of irritable bowel syndrome in children. J </w:t>
      </w:r>
      <w:proofErr w:type="spellStart"/>
      <w:r w:rsidRPr="007A7538">
        <w:rPr>
          <w:sz w:val="15"/>
          <w:szCs w:val="20"/>
        </w:rPr>
        <w:t>Pediatr</w:t>
      </w:r>
      <w:proofErr w:type="spellEnd"/>
      <w:r w:rsidRPr="007A7538">
        <w:rPr>
          <w:sz w:val="15"/>
          <w:szCs w:val="20"/>
        </w:rPr>
        <w:t xml:space="preserve"> Gastroenterol </w:t>
      </w:r>
      <w:proofErr w:type="spellStart"/>
      <w:r w:rsidRPr="007A7538">
        <w:rPr>
          <w:sz w:val="15"/>
          <w:szCs w:val="20"/>
        </w:rPr>
        <w:t>Nutr</w:t>
      </w:r>
      <w:proofErr w:type="spellEnd"/>
      <w:r w:rsidRPr="007A7538">
        <w:rPr>
          <w:sz w:val="15"/>
          <w:szCs w:val="20"/>
        </w:rPr>
        <w:t xml:space="preserve">. </w:t>
      </w:r>
      <w:proofErr w:type="gramStart"/>
      <w:r w:rsidRPr="007A7538">
        <w:rPr>
          <w:sz w:val="15"/>
          <w:szCs w:val="20"/>
        </w:rPr>
        <w:t>2013;56:443</w:t>
      </w:r>
      <w:proofErr w:type="gramEnd"/>
      <w:r w:rsidRPr="007A7538">
        <w:rPr>
          <w:sz w:val="15"/>
          <w:szCs w:val="20"/>
        </w:rPr>
        <w:t>–8.</w:t>
      </w:r>
    </w:p>
    <w:p w14:paraId="57776B26" w14:textId="77777777" w:rsidR="00AE3E37" w:rsidRPr="008756E6" w:rsidRDefault="00AE3E37" w:rsidP="008756E6">
      <w:pPr>
        <w:tabs>
          <w:tab w:val="left" w:pos="384"/>
        </w:tabs>
        <w:ind w:right="117"/>
      </w:pPr>
    </w:p>
    <w:p w14:paraId="1B56837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890033B"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411881F9" wp14:editId="643F08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C692F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7D8EBF0" w14:textId="11C7C5CE"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12A3EBA" wp14:editId="7289211A">
            <wp:extent cx="498576" cy="50677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09046" cy="517419"/>
                    </a:xfrm>
                    <a:prstGeom prst="rect">
                      <a:avLst/>
                    </a:prstGeom>
                    <a:noFill/>
                    <a:ln>
                      <a:noFill/>
                    </a:ln>
                  </pic:spPr>
                </pic:pic>
              </a:graphicData>
            </a:graphic>
          </wp:inline>
        </w:drawing>
      </w:r>
    </w:p>
    <w:p w14:paraId="67E0399D" w14:textId="07375970"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7A7538">
        <w:rPr>
          <w:rFonts w:ascii="Arial"/>
          <w:sz w:val="14"/>
        </w:rPr>
        <w:t xml:space="preserve">de Paula </w:t>
      </w:r>
      <w:r>
        <w:rPr>
          <w:rFonts w:ascii="Arial"/>
          <w:sz w:val="14"/>
        </w:rPr>
        <w:t xml:space="preserve">has her expertise in </w:t>
      </w:r>
      <w:r w:rsidR="006B4823">
        <w:rPr>
          <w:rFonts w:ascii="Arial"/>
          <w:sz w:val="14"/>
        </w:rPr>
        <w:t>P</w:t>
      </w:r>
      <w:r w:rsidR="007A7538">
        <w:rPr>
          <w:rFonts w:ascii="Arial"/>
          <w:sz w:val="14"/>
        </w:rPr>
        <w:t xml:space="preserve">ediatric </w:t>
      </w:r>
      <w:r w:rsidR="006B4823">
        <w:rPr>
          <w:rFonts w:ascii="Arial"/>
          <w:sz w:val="14"/>
        </w:rPr>
        <w:t>G</w:t>
      </w:r>
      <w:r w:rsidR="007A7538">
        <w:rPr>
          <w:rFonts w:ascii="Arial"/>
          <w:sz w:val="14"/>
        </w:rPr>
        <w:t>astroenterology and</w:t>
      </w:r>
      <w:r>
        <w:rPr>
          <w:rFonts w:ascii="Arial"/>
          <w:sz w:val="14"/>
        </w:rPr>
        <w:t xml:space="preserve"> </w:t>
      </w:r>
      <w:r w:rsidR="007A7538" w:rsidRPr="007A7538">
        <w:rPr>
          <w:rFonts w:ascii="Arial"/>
          <w:sz w:val="14"/>
        </w:rPr>
        <w:t>Master's degree in Child and Adolescent Health</w:t>
      </w:r>
      <w:r w:rsidR="007A7538">
        <w:rPr>
          <w:rFonts w:ascii="Arial"/>
          <w:sz w:val="14"/>
        </w:rPr>
        <w:t xml:space="preserve">. She lives in </w:t>
      </w:r>
      <w:r w:rsidR="006B4823">
        <w:rPr>
          <w:rFonts w:ascii="Arial"/>
          <w:sz w:val="14"/>
        </w:rPr>
        <w:t>Pernambuco</w:t>
      </w:r>
      <w:r w:rsidR="007A7538">
        <w:rPr>
          <w:rFonts w:ascii="Arial"/>
          <w:sz w:val="14"/>
        </w:rPr>
        <w:t xml:space="preserve">, </w:t>
      </w:r>
      <w:r w:rsidR="006B4823">
        <w:rPr>
          <w:rFonts w:ascii="Arial"/>
          <w:sz w:val="14"/>
        </w:rPr>
        <w:t xml:space="preserve">Northeast of Brazil, known as </w:t>
      </w:r>
      <w:r w:rsidR="007A7538">
        <w:rPr>
          <w:rFonts w:ascii="Arial"/>
          <w:sz w:val="14"/>
        </w:rPr>
        <w:t xml:space="preserve">the epicenter of </w:t>
      </w:r>
      <w:r w:rsidR="006B4823">
        <w:rPr>
          <w:rFonts w:ascii="Arial"/>
          <w:sz w:val="14"/>
        </w:rPr>
        <w:t xml:space="preserve">the </w:t>
      </w:r>
      <w:r w:rsidR="007A7538">
        <w:rPr>
          <w:rFonts w:ascii="Arial"/>
          <w:sz w:val="14"/>
        </w:rPr>
        <w:t>Zika</w:t>
      </w:r>
      <w:r w:rsidR="006B4823">
        <w:rPr>
          <w:rFonts w:ascii="Arial"/>
          <w:sz w:val="14"/>
        </w:rPr>
        <w:t xml:space="preserve"> </w:t>
      </w:r>
      <w:r w:rsidR="007A7538">
        <w:rPr>
          <w:rFonts w:ascii="Arial"/>
          <w:sz w:val="14"/>
        </w:rPr>
        <w:t>epidem</w:t>
      </w:r>
      <w:r w:rsidR="006B4823">
        <w:rPr>
          <w:rFonts w:ascii="Arial"/>
          <w:sz w:val="14"/>
        </w:rPr>
        <w:t xml:space="preserve">ic and she </w:t>
      </w:r>
      <w:r w:rsidR="007A7538">
        <w:rPr>
          <w:rFonts w:ascii="Arial"/>
          <w:sz w:val="14"/>
        </w:rPr>
        <w:t>works in three public</w:t>
      </w:r>
      <w:r w:rsidR="006B4823">
        <w:rPr>
          <w:rFonts w:ascii="Arial"/>
          <w:sz w:val="14"/>
        </w:rPr>
        <w:t xml:space="preserve"> teaching</w:t>
      </w:r>
      <w:r w:rsidR="007A7538">
        <w:rPr>
          <w:rFonts w:ascii="Arial"/>
          <w:sz w:val="14"/>
        </w:rPr>
        <w:t xml:space="preserve"> hospitals, </w:t>
      </w:r>
      <w:r w:rsidR="006B4823" w:rsidRPr="006B4823">
        <w:rPr>
          <w:rFonts w:ascii="Arial"/>
          <w:sz w:val="14"/>
        </w:rPr>
        <w:t xml:space="preserve">where she </w:t>
      </w:r>
      <w:r w:rsidR="006B4823">
        <w:rPr>
          <w:rFonts w:ascii="Arial"/>
          <w:sz w:val="14"/>
        </w:rPr>
        <w:t xml:space="preserve">and the other authors </w:t>
      </w:r>
      <w:r w:rsidR="006B4823" w:rsidRPr="006B4823">
        <w:rPr>
          <w:rFonts w:ascii="Arial"/>
          <w:sz w:val="14"/>
        </w:rPr>
        <w:t>assist most of the affected patients, in addition to many other children with gastrointestinal problems associated with neurological diseases.</w:t>
      </w:r>
    </w:p>
    <w:p w14:paraId="200F3DAA" w14:textId="1758D42E" w:rsidR="00AE3E37" w:rsidRDefault="00A9710C">
      <w:pPr>
        <w:spacing w:before="62"/>
        <w:ind w:left="4217" w:right="4235"/>
        <w:jc w:val="center"/>
        <w:rPr>
          <w:rFonts w:ascii="Arial"/>
          <w:sz w:val="14"/>
        </w:rPr>
      </w:pPr>
      <w:r>
        <w:rPr>
          <w:rFonts w:ascii="Arial"/>
          <w:sz w:val="14"/>
        </w:rPr>
        <w:t xml:space="preserve">Email: </w:t>
      </w:r>
      <w:r w:rsidR="004805AA" w:rsidRPr="004805AA">
        <w:rPr>
          <w:rFonts w:ascii="Arial"/>
          <w:sz w:val="14"/>
        </w:rPr>
        <w:t>gelipaula@gmail</w:t>
      </w:r>
      <w:r w:rsidR="004805AA">
        <w:rPr>
          <w:rFonts w:ascii="Arial"/>
          <w:sz w:val="14"/>
        </w:rPr>
        <w:t>.com</w:t>
      </w:r>
    </w:p>
    <w:p w14:paraId="03BD5F61"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4538285" wp14:editId="52C2F02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9CCB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1300BDB2" w14:textId="77777777" w:rsidR="00AE3E37" w:rsidRDefault="00AE3E37">
      <w:pPr>
        <w:pStyle w:val="Corpodetexto"/>
        <w:rPr>
          <w:rFonts w:ascii="Arial"/>
          <w:sz w:val="20"/>
        </w:rPr>
      </w:pPr>
    </w:p>
    <w:p w14:paraId="387CBD2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470C6F3"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ABD7E" w14:textId="77777777" w:rsidR="00786D56" w:rsidRDefault="00786D56">
      <w:r>
        <w:separator/>
      </w:r>
    </w:p>
  </w:endnote>
  <w:endnote w:type="continuationSeparator" w:id="0">
    <w:p w14:paraId="3A52AAA3" w14:textId="77777777" w:rsidR="00786D56" w:rsidRDefault="00786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365C"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9C85DDD" wp14:editId="46C5E6B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424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FB39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85DD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755424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FB39D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131B960" wp14:editId="5BA174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0950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B17E4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1B96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7C90950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B17E4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BF04703" wp14:editId="2BE12D0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79EC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F307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0470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0AD79EC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F307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03D3A" w14:textId="77777777" w:rsidR="00786D56" w:rsidRDefault="00786D56">
      <w:r>
        <w:separator/>
      </w:r>
    </w:p>
  </w:footnote>
  <w:footnote w:type="continuationSeparator" w:id="0">
    <w:p w14:paraId="5EBA20A8" w14:textId="77777777" w:rsidR="00786D56" w:rsidRDefault="00786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CDA00"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C5D247B" wp14:editId="2C4D5D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A72A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5D247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788A72A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F171006" wp14:editId="22CE92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EFC82"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A9B80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7100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0F7EFC82"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A9B80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51BE47B4"/>
    <w:lvl w:ilvl="0" w:tplc="1D06DD98">
      <w:start w:val="1"/>
      <w:numFmt w:val="decimal"/>
      <w:lvlText w:val="%1."/>
      <w:lvlJc w:val="left"/>
      <w:pPr>
        <w:ind w:left="383" w:hanging="284"/>
      </w:pPr>
      <w:rPr>
        <w:rFonts w:ascii="Calibri" w:eastAsia="Calibri" w:hAnsi="Calibri" w:cs="Calibri" w:hint="default"/>
        <w:spacing w:val="-16"/>
        <w:w w:val="100"/>
        <w:sz w:val="15"/>
        <w:szCs w:val="15"/>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45767728">
    <w:abstractNumId w:val="0"/>
  </w:num>
  <w:num w:numId="2" w16cid:durableId="691304946">
    <w:abstractNumId w:val="1"/>
  </w:num>
  <w:num w:numId="3" w16cid:durableId="138159340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75552"/>
    <w:rsid w:val="004805AA"/>
    <w:rsid w:val="00494130"/>
    <w:rsid w:val="004C3666"/>
    <w:rsid w:val="004F3523"/>
    <w:rsid w:val="005973B9"/>
    <w:rsid w:val="005B3A56"/>
    <w:rsid w:val="005C705E"/>
    <w:rsid w:val="006060CE"/>
    <w:rsid w:val="0063497F"/>
    <w:rsid w:val="006B4823"/>
    <w:rsid w:val="00786D56"/>
    <w:rsid w:val="0078738A"/>
    <w:rsid w:val="007A7538"/>
    <w:rsid w:val="007D12DE"/>
    <w:rsid w:val="00873DF0"/>
    <w:rsid w:val="008756E6"/>
    <w:rsid w:val="00904FE3"/>
    <w:rsid w:val="009B2D44"/>
    <w:rsid w:val="00A07E82"/>
    <w:rsid w:val="00A9710C"/>
    <w:rsid w:val="00AE3E37"/>
    <w:rsid w:val="00B1405C"/>
    <w:rsid w:val="00B21A57"/>
    <w:rsid w:val="00B47BB3"/>
    <w:rsid w:val="00C33602"/>
    <w:rsid w:val="00CD6F55"/>
    <w:rsid w:val="00D62425"/>
    <w:rsid w:val="00DE3104"/>
    <w:rsid w:val="00E947EB"/>
    <w:rsid w:val="00E950C8"/>
    <w:rsid w:val="00ED1F1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8A552"/>
  <w15:docId w15:val="{66C62250-6407-4B4B-ABD3-F587F38ED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705</Words>
  <Characters>3808</Characters>
  <Application>Microsoft Office Word</Application>
  <DocSecurity>0</DocSecurity>
  <Lines>31</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Hugor F P S Viana</cp:lastModifiedBy>
  <cp:revision>5</cp:revision>
  <dcterms:created xsi:type="dcterms:W3CDTF">2016-08-31T13:10:00Z</dcterms:created>
  <dcterms:modified xsi:type="dcterms:W3CDTF">2022-12-02T15:55:00Z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