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327" w:rsidRPr="00EE75DE" w:rsidRDefault="00CC7327" w:rsidP="00CC7327">
      <w:pPr>
        <w:pBdr>
          <w:bottom w:val="dashed" w:sz="4" w:space="3" w:color="CCCCCC"/>
        </w:pBdr>
        <w:shd w:val="clear" w:color="auto" w:fill="FFFFFF"/>
        <w:spacing w:after="120" w:line="240" w:lineRule="auto"/>
        <w:outlineLvl w:val="3"/>
        <w:rPr>
          <w:rFonts w:ascii="Helvetica" w:eastAsia="Times New Roman" w:hAnsi="Helvetica" w:cs="Helvetica"/>
          <w:color w:val="333333"/>
          <w:sz w:val="28"/>
          <w:szCs w:val="28"/>
        </w:rPr>
      </w:pPr>
      <w:r w:rsidRPr="00EE75DE">
        <w:rPr>
          <w:rFonts w:ascii="Helvetica" w:eastAsia="Times New Roman" w:hAnsi="Helvetica" w:cs="Helvetica"/>
          <w:color w:val="333333"/>
          <w:sz w:val="28"/>
          <w:szCs w:val="28"/>
        </w:rPr>
        <w:t>Experience of a Single Center in NTBC Use in Management of Hereditary Tyrosinemia Type I in Libya</w:t>
      </w:r>
    </w:p>
    <w:p w:rsidR="00CC7327" w:rsidRPr="00A8361A" w:rsidRDefault="00CC7327" w:rsidP="00CC7327">
      <w:pPr>
        <w:shd w:val="clear" w:color="auto" w:fill="FFFFFF"/>
        <w:spacing w:line="228" w:lineRule="atLeast"/>
        <w:rPr>
          <w:rFonts w:ascii="Arial" w:eastAsia="Times New Roman" w:hAnsi="Arial" w:cs="Arial"/>
          <w:color w:val="333333"/>
          <w:sz w:val="16"/>
          <w:szCs w:val="16"/>
        </w:rPr>
      </w:pPr>
      <w:hyperlink r:id="rId4" w:history="1">
        <w:r w:rsidRPr="00A8361A">
          <w:rPr>
            <w:rFonts w:ascii="Arial" w:eastAsia="Times New Roman" w:hAnsi="Arial" w:cs="Arial"/>
            <w:b/>
            <w:bCs/>
            <w:color w:val="0000FF"/>
            <w:sz w:val="16"/>
            <w:u w:val="single"/>
          </w:rPr>
          <w:t>Hanna Alobaidy</w:t>
        </w:r>
        <w:r w:rsidRPr="00A8361A">
          <w:rPr>
            <w:rFonts w:ascii="Arial" w:eastAsia="Times New Roman" w:hAnsi="Arial" w:cs="Arial"/>
            <w:b/>
            <w:bCs/>
            <w:color w:val="0000FF"/>
            <w:sz w:val="16"/>
          </w:rPr>
          <w:t> </w:t>
        </w:r>
      </w:hyperlink>
      <w:hyperlink r:id="rId5" w:anchor="aff1" w:history="1">
        <w:r w:rsidRPr="00A8361A">
          <w:rPr>
            <w:rFonts w:ascii="Arial" w:eastAsia="Times New Roman" w:hAnsi="Arial" w:cs="Arial"/>
            <w:color w:val="0000FF"/>
            <w:sz w:val="10"/>
            <w:u w:val="single"/>
            <w:vertAlign w:val="superscript"/>
          </w:rPr>
          <w:t>1</w:t>
        </w:r>
      </w:hyperlink>
      <w:r w:rsidRPr="00A8361A">
        <w:rPr>
          <w:rFonts w:ascii="Arial" w:eastAsia="Times New Roman" w:hAnsi="Arial" w:cs="Arial"/>
          <w:color w:val="333333"/>
          <w:sz w:val="10"/>
          <w:vertAlign w:val="superscript"/>
        </w:rPr>
        <w:t> </w:t>
      </w:r>
      <w:r w:rsidRPr="00A8361A">
        <w:rPr>
          <w:rFonts w:ascii="Arial" w:eastAsia="Times New Roman" w:hAnsi="Arial" w:cs="Arial"/>
          <w:color w:val="333333"/>
          <w:sz w:val="10"/>
          <w:szCs w:val="10"/>
          <w:vertAlign w:val="superscript"/>
        </w:rPr>
        <w:t>,</w:t>
      </w:r>
      <w:hyperlink r:id="rId6" w:anchor="idp33424" w:history="1">
        <w:r w:rsidRPr="00A8361A">
          <w:rPr>
            <w:rFonts w:ascii="Arial" w:eastAsia="Times New Roman" w:hAnsi="Arial" w:cs="Arial"/>
            <w:color w:val="0000FF"/>
            <w:sz w:val="10"/>
            <w:u w:val="single"/>
            <w:vertAlign w:val="superscript"/>
          </w:rPr>
          <w:t>*</w:t>
        </w:r>
      </w:hyperlink>
      <w:r w:rsidRPr="00A8361A">
        <w:rPr>
          <w:rFonts w:ascii="Arial" w:eastAsia="Times New Roman" w:hAnsi="Arial" w:cs="Arial"/>
          <w:color w:val="333333"/>
          <w:sz w:val="10"/>
          <w:vertAlign w:val="superscript"/>
        </w:rPr>
        <w:t> </w:t>
      </w:r>
      <w:r w:rsidRPr="00A8361A">
        <w:rPr>
          <w:rFonts w:ascii="Arial" w:eastAsia="Times New Roman" w:hAnsi="Arial" w:cs="Arial"/>
          <w:color w:val="333333"/>
          <w:sz w:val="16"/>
          <w:szCs w:val="16"/>
        </w:rPr>
        <w:t>and</w:t>
      </w:r>
      <w:r w:rsidRPr="00A8361A">
        <w:rPr>
          <w:rFonts w:ascii="Arial" w:eastAsia="Times New Roman" w:hAnsi="Arial" w:cs="Arial"/>
          <w:color w:val="333333"/>
          <w:sz w:val="16"/>
        </w:rPr>
        <w:t> </w:t>
      </w:r>
      <w:hyperlink r:id="rId7" w:history="1">
        <w:r w:rsidRPr="00A8361A">
          <w:rPr>
            <w:rFonts w:ascii="Arial" w:eastAsia="Times New Roman" w:hAnsi="Arial" w:cs="Arial"/>
            <w:b/>
            <w:bCs/>
            <w:color w:val="0000FF"/>
            <w:sz w:val="16"/>
            <w:u w:val="single"/>
          </w:rPr>
          <w:t>Emna Barkaoui</w:t>
        </w:r>
        <w:r w:rsidRPr="00A8361A">
          <w:rPr>
            <w:rFonts w:ascii="Arial" w:eastAsia="Times New Roman" w:hAnsi="Arial" w:cs="Arial"/>
            <w:b/>
            <w:bCs/>
            <w:color w:val="0000FF"/>
            <w:sz w:val="16"/>
          </w:rPr>
          <w:t> </w:t>
        </w:r>
      </w:hyperlink>
      <w:hyperlink r:id="rId8" w:anchor="aff2" w:history="1">
        <w:r w:rsidRPr="00A8361A">
          <w:rPr>
            <w:rFonts w:ascii="Arial" w:eastAsia="Times New Roman" w:hAnsi="Arial" w:cs="Arial"/>
            <w:color w:val="0000FF"/>
            <w:sz w:val="10"/>
            <w:u w:val="single"/>
            <w:vertAlign w:val="superscript"/>
          </w:rPr>
          <w:t>2</w:t>
        </w:r>
      </w:hyperlink>
    </w:p>
    <w:p w:rsidR="00CC7327" w:rsidRPr="00A8361A" w:rsidRDefault="00CC7327" w:rsidP="00CC7327">
      <w:pPr>
        <w:shd w:val="clear" w:color="auto" w:fill="FFFFFF"/>
        <w:spacing w:after="0" w:line="228" w:lineRule="atLeast"/>
        <w:rPr>
          <w:rFonts w:ascii="Arial" w:eastAsia="Times New Roman" w:hAnsi="Arial" w:cs="Arial"/>
          <w:color w:val="333333"/>
          <w:sz w:val="16"/>
          <w:szCs w:val="16"/>
        </w:rPr>
      </w:pPr>
      <w:hyperlink r:id="rId9" w:anchor="AuthorInformation" w:history="1">
        <w:r w:rsidRPr="00A8361A">
          <w:rPr>
            <w:rFonts w:ascii="Arial" w:eastAsia="Times New Roman" w:hAnsi="Arial" w:cs="Arial"/>
            <w:b/>
            <w:bCs/>
            <w:color w:val="0000FF"/>
            <w:sz w:val="16"/>
          </w:rPr>
          <w:t> </w:t>
        </w:r>
        <w:r w:rsidRPr="00A8361A">
          <w:rPr>
            <w:rFonts w:ascii="Arial" w:eastAsia="Times New Roman" w:hAnsi="Arial" w:cs="Arial"/>
            <w:b/>
            <w:bCs/>
            <w:color w:val="0000FF"/>
            <w:sz w:val="16"/>
            <w:u w:val="single"/>
          </w:rPr>
          <w:t>Authors Information</w:t>
        </w:r>
      </w:hyperlink>
    </w:p>
    <w:p w:rsidR="00CC7327" w:rsidRPr="00A8361A" w:rsidRDefault="00CC7327" w:rsidP="00CC7327">
      <w:pPr>
        <w:shd w:val="clear" w:color="auto" w:fill="FFFFFF"/>
        <w:spacing w:after="0" w:line="228" w:lineRule="atLeast"/>
        <w:rPr>
          <w:rFonts w:ascii="Arial" w:eastAsia="Times New Roman" w:hAnsi="Arial" w:cs="Arial"/>
          <w:color w:val="333333"/>
          <w:sz w:val="16"/>
          <w:szCs w:val="16"/>
        </w:rPr>
      </w:pPr>
      <w:proofErr w:type="gramStart"/>
      <w:r w:rsidRPr="00A8361A">
        <w:rPr>
          <w:rFonts w:ascii="Arial" w:eastAsia="Times New Roman" w:hAnsi="Arial" w:cs="Arial"/>
          <w:color w:val="333333"/>
          <w:sz w:val="12"/>
          <w:szCs w:val="12"/>
          <w:vertAlign w:val="superscript"/>
        </w:rPr>
        <w:t>1</w:t>
      </w:r>
      <w:proofErr w:type="gramEnd"/>
      <w:r w:rsidRPr="00A8361A">
        <w:rPr>
          <w:rFonts w:ascii="Arial" w:eastAsia="Times New Roman" w:hAnsi="Arial" w:cs="Arial"/>
          <w:color w:val="333333"/>
          <w:sz w:val="16"/>
        </w:rPr>
        <w:t> </w:t>
      </w:r>
      <w:r w:rsidRPr="00A8361A">
        <w:rPr>
          <w:rFonts w:ascii="Arial" w:eastAsia="Times New Roman" w:hAnsi="Arial" w:cs="Arial"/>
          <w:color w:val="333333"/>
          <w:sz w:val="16"/>
          <w:szCs w:val="16"/>
        </w:rPr>
        <w:t>Department of Pediatrics, Faculty of Medicine, Elkhadra Hospital, Tripoli University, Tripoli, Libya</w:t>
      </w:r>
    </w:p>
    <w:p w:rsidR="00CC7327" w:rsidRPr="00A8361A" w:rsidRDefault="00CC7327" w:rsidP="00CC7327">
      <w:pPr>
        <w:shd w:val="clear" w:color="auto" w:fill="FFFFFF"/>
        <w:spacing w:after="0" w:line="228" w:lineRule="atLeast"/>
        <w:rPr>
          <w:rFonts w:ascii="Arial" w:eastAsia="Times New Roman" w:hAnsi="Arial" w:cs="Arial"/>
          <w:color w:val="333333"/>
          <w:sz w:val="16"/>
          <w:szCs w:val="16"/>
        </w:rPr>
      </w:pPr>
      <w:proofErr w:type="gramStart"/>
      <w:r w:rsidRPr="00A8361A">
        <w:rPr>
          <w:rFonts w:ascii="Arial" w:eastAsia="Times New Roman" w:hAnsi="Arial" w:cs="Arial"/>
          <w:color w:val="333333"/>
          <w:sz w:val="12"/>
          <w:szCs w:val="12"/>
          <w:vertAlign w:val="superscript"/>
        </w:rPr>
        <w:t>2</w:t>
      </w:r>
      <w:proofErr w:type="gramEnd"/>
      <w:r w:rsidRPr="00A8361A">
        <w:rPr>
          <w:rFonts w:ascii="Arial" w:eastAsia="Times New Roman" w:hAnsi="Arial" w:cs="Arial"/>
          <w:color w:val="333333"/>
          <w:sz w:val="16"/>
        </w:rPr>
        <w:t> </w:t>
      </w:r>
      <w:r w:rsidRPr="00A8361A">
        <w:rPr>
          <w:rFonts w:ascii="Arial" w:eastAsia="Times New Roman" w:hAnsi="Arial" w:cs="Arial"/>
          <w:color w:val="333333"/>
          <w:sz w:val="16"/>
          <w:szCs w:val="16"/>
        </w:rPr>
        <w:t>Pasteur Institute, Children’s Hospital, Tunis, Tunisia</w:t>
      </w:r>
    </w:p>
    <w:p w:rsidR="00A835CD" w:rsidRDefault="00CC7327" w:rsidP="00CC7327">
      <w:pPr>
        <w:rPr>
          <w:rFonts w:ascii="Arial" w:eastAsia="Times New Roman" w:hAnsi="Arial" w:cs="Arial"/>
          <w:color w:val="333333"/>
          <w:sz w:val="16"/>
          <w:szCs w:val="16"/>
        </w:rPr>
      </w:pPr>
      <w:r w:rsidRPr="00A8361A">
        <w:rPr>
          <w:rFonts w:ascii="Arial" w:eastAsia="Times New Roman" w:hAnsi="Arial" w:cs="Arial"/>
          <w:color w:val="333333"/>
          <w:sz w:val="16"/>
          <w:szCs w:val="16"/>
        </w:rPr>
        <w:t>* Corresponding author: Hanna Alobaidy, Department of Pediatrics, Faculty of Medicine, Elkhadra Hospital, Tripoli University, Tripoli, Libya.</w:t>
      </w:r>
    </w:p>
    <w:p w:rsidR="00CC7327" w:rsidRPr="00EE75DE" w:rsidRDefault="00CC7327" w:rsidP="00CC7327">
      <w:pPr>
        <w:shd w:val="clear" w:color="auto" w:fill="DBE7E2"/>
        <w:spacing w:before="180" w:after="84" w:line="240" w:lineRule="auto"/>
        <w:outlineLvl w:val="4"/>
        <w:rPr>
          <w:rFonts w:asciiTheme="majorBidi" w:eastAsia="Times New Roman" w:hAnsiTheme="majorBidi" w:cstheme="majorBidi"/>
          <w:b/>
          <w:bCs/>
          <w:color w:val="6C6C6C"/>
          <w:sz w:val="24"/>
          <w:szCs w:val="24"/>
        </w:rPr>
      </w:pPr>
      <w:r w:rsidRPr="00EE75DE">
        <w:rPr>
          <w:rFonts w:asciiTheme="majorBidi" w:eastAsia="Times New Roman" w:hAnsiTheme="majorBidi" w:cstheme="majorBidi"/>
          <w:b/>
          <w:bCs/>
          <w:color w:val="6C6C6C"/>
          <w:sz w:val="24"/>
          <w:szCs w:val="24"/>
        </w:rPr>
        <w:t>Abstract</w:t>
      </w:r>
    </w:p>
    <w:p w:rsidR="00CC7327" w:rsidRPr="00EE75DE" w:rsidRDefault="00CC7327" w:rsidP="00CC7327">
      <w:pPr>
        <w:shd w:val="clear" w:color="auto" w:fill="FFFFFF"/>
        <w:spacing w:after="120" w:line="228" w:lineRule="atLeast"/>
        <w:jc w:val="both"/>
        <w:rPr>
          <w:rFonts w:asciiTheme="majorBidi" w:eastAsia="Times New Roman" w:hAnsiTheme="majorBidi" w:cstheme="majorBidi"/>
          <w:color w:val="333333"/>
          <w:sz w:val="24"/>
          <w:szCs w:val="24"/>
        </w:rPr>
      </w:pPr>
      <w:r w:rsidRPr="00EE75DE">
        <w:rPr>
          <w:rFonts w:asciiTheme="majorBidi" w:eastAsia="Times New Roman" w:hAnsiTheme="majorBidi" w:cstheme="majorBidi"/>
          <w:b/>
          <w:bCs/>
          <w:color w:val="333333"/>
          <w:sz w:val="24"/>
          <w:szCs w:val="24"/>
        </w:rPr>
        <w:t>Background:</w:t>
      </w:r>
      <w:r w:rsidRPr="00EE75DE">
        <w:rPr>
          <w:rFonts w:asciiTheme="majorBidi" w:eastAsia="Times New Roman" w:hAnsiTheme="majorBidi" w:cstheme="majorBidi"/>
          <w:color w:val="333333"/>
          <w:sz w:val="24"/>
          <w:szCs w:val="24"/>
        </w:rPr>
        <w:t> Hereditary Tyrosinemia type I (HTI) is a metabolic disease caused by deficiency of fumarylacetoacetate hydrolase enzyme.</w:t>
      </w:r>
    </w:p>
    <w:p w:rsidR="00CC7327" w:rsidRPr="00EE75DE" w:rsidRDefault="00CC7327" w:rsidP="00CC7327">
      <w:pPr>
        <w:shd w:val="clear" w:color="auto" w:fill="FFFFFF"/>
        <w:spacing w:after="120" w:line="228" w:lineRule="atLeast"/>
        <w:jc w:val="both"/>
        <w:rPr>
          <w:rFonts w:asciiTheme="majorBidi" w:eastAsia="Times New Roman" w:hAnsiTheme="majorBidi" w:cstheme="majorBidi"/>
          <w:color w:val="333333"/>
          <w:sz w:val="24"/>
          <w:szCs w:val="24"/>
        </w:rPr>
      </w:pPr>
      <w:r w:rsidRPr="00EE75DE">
        <w:rPr>
          <w:rFonts w:asciiTheme="majorBidi" w:eastAsia="Times New Roman" w:hAnsiTheme="majorBidi" w:cstheme="majorBidi"/>
          <w:b/>
          <w:bCs/>
          <w:color w:val="333333"/>
          <w:sz w:val="24"/>
          <w:szCs w:val="24"/>
        </w:rPr>
        <w:t>Objectives:</w:t>
      </w:r>
      <w:r w:rsidRPr="00EE75DE">
        <w:rPr>
          <w:rFonts w:asciiTheme="majorBidi" w:eastAsia="Times New Roman" w:hAnsiTheme="majorBidi" w:cstheme="majorBidi"/>
          <w:color w:val="333333"/>
          <w:sz w:val="24"/>
          <w:szCs w:val="24"/>
        </w:rPr>
        <w:t> This study reports beside its clinical and biochemical presentation, the outcome of NTBC [2- (2-nitro-4-trifloro-methylbenzoyl)-</w:t>
      </w:r>
      <w:proofErr w:type="gramStart"/>
      <w:r w:rsidRPr="00EE75DE">
        <w:rPr>
          <w:rFonts w:asciiTheme="majorBidi" w:eastAsia="Times New Roman" w:hAnsiTheme="majorBidi" w:cstheme="majorBidi"/>
          <w:color w:val="333333"/>
          <w:sz w:val="24"/>
          <w:szCs w:val="24"/>
        </w:rPr>
        <w:t>1</w:t>
      </w:r>
      <w:proofErr w:type="gramEnd"/>
      <w:r w:rsidRPr="00EE75DE">
        <w:rPr>
          <w:rFonts w:asciiTheme="majorBidi" w:eastAsia="Times New Roman" w:hAnsiTheme="majorBidi" w:cstheme="majorBidi"/>
          <w:color w:val="333333"/>
          <w:sz w:val="24"/>
          <w:szCs w:val="24"/>
        </w:rPr>
        <w:t>, 3-cyclohexanedion] treatment of the disease and evaluates its biochemical markers in 16 pediatric Libyan patients.</w:t>
      </w:r>
    </w:p>
    <w:p w:rsidR="00CC7327" w:rsidRPr="00EE75DE" w:rsidRDefault="00CC7327" w:rsidP="00CC7327">
      <w:pPr>
        <w:shd w:val="clear" w:color="auto" w:fill="FFFFFF"/>
        <w:spacing w:after="120" w:line="228" w:lineRule="atLeast"/>
        <w:jc w:val="both"/>
        <w:rPr>
          <w:rFonts w:asciiTheme="majorBidi" w:eastAsia="Times New Roman" w:hAnsiTheme="majorBidi" w:cstheme="majorBidi"/>
          <w:color w:val="333333"/>
          <w:sz w:val="24"/>
          <w:szCs w:val="24"/>
        </w:rPr>
      </w:pPr>
      <w:r w:rsidRPr="00EE75DE">
        <w:rPr>
          <w:rFonts w:asciiTheme="majorBidi" w:eastAsia="Times New Roman" w:hAnsiTheme="majorBidi" w:cstheme="majorBidi"/>
          <w:b/>
          <w:bCs/>
          <w:color w:val="333333"/>
          <w:sz w:val="24"/>
          <w:szCs w:val="24"/>
        </w:rPr>
        <w:t>Patients and Methods:</w:t>
      </w:r>
      <w:r w:rsidRPr="00EE75DE">
        <w:rPr>
          <w:rFonts w:asciiTheme="majorBidi" w:eastAsia="Times New Roman" w:hAnsiTheme="majorBidi" w:cstheme="majorBidi"/>
          <w:color w:val="333333"/>
          <w:sz w:val="24"/>
          <w:szCs w:val="24"/>
        </w:rPr>
        <w:t> The diagnosis was based on presence of high tyrosine levels in blood and succinylacetone in urine.</w:t>
      </w:r>
    </w:p>
    <w:p w:rsidR="00CC7327" w:rsidRPr="00EE75DE" w:rsidRDefault="00CC7327" w:rsidP="00CC7327">
      <w:pPr>
        <w:shd w:val="clear" w:color="auto" w:fill="FFFFFF"/>
        <w:spacing w:after="120" w:line="228" w:lineRule="atLeast"/>
        <w:jc w:val="both"/>
        <w:rPr>
          <w:rFonts w:asciiTheme="majorBidi" w:eastAsia="Times New Roman" w:hAnsiTheme="majorBidi" w:cstheme="majorBidi"/>
          <w:color w:val="333333"/>
          <w:sz w:val="24"/>
          <w:szCs w:val="24"/>
        </w:rPr>
      </w:pPr>
      <w:r w:rsidRPr="00EE75DE">
        <w:rPr>
          <w:rFonts w:asciiTheme="majorBidi" w:eastAsia="Times New Roman" w:hAnsiTheme="majorBidi" w:cstheme="majorBidi"/>
          <w:b/>
          <w:bCs/>
          <w:color w:val="333333"/>
          <w:sz w:val="24"/>
          <w:szCs w:val="24"/>
        </w:rPr>
        <w:t>Results:</w:t>
      </w:r>
      <w:r w:rsidRPr="00EE75DE">
        <w:rPr>
          <w:rFonts w:asciiTheme="majorBidi" w:eastAsia="Times New Roman" w:hAnsiTheme="majorBidi" w:cstheme="majorBidi"/>
          <w:color w:val="333333"/>
          <w:sz w:val="24"/>
          <w:szCs w:val="24"/>
        </w:rPr>
        <w:t xml:space="preserve"> The consanguinity rate was 81.2%, the median age at onset, at diagnosis and at starting treatment were 4.5, 8, and 9.5 months respectively. At presentation hepatomegaly, jaundice, </w:t>
      </w:r>
      <w:proofErr w:type="gramStart"/>
      <w:r w:rsidRPr="00EE75DE">
        <w:rPr>
          <w:rFonts w:asciiTheme="majorBidi" w:eastAsia="Times New Roman" w:hAnsiTheme="majorBidi" w:cstheme="majorBidi"/>
          <w:color w:val="333333"/>
          <w:sz w:val="24"/>
          <w:szCs w:val="24"/>
        </w:rPr>
        <w:t>rickets</w:t>
      </w:r>
      <w:proofErr w:type="gramEnd"/>
      <w:r w:rsidRPr="00EE75DE">
        <w:rPr>
          <w:rFonts w:asciiTheme="majorBidi" w:eastAsia="Times New Roman" w:hAnsiTheme="majorBidi" w:cstheme="majorBidi"/>
          <w:color w:val="333333"/>
          <w:sz w:val="24"/>
          <w:szCs w:val="24"/>
        </w:rPr>
        <w:t xml:space="preserve"> and high gamma glutamyl transferase (GGT) were observed in 87.5% of patients. All patients had extremely high alpha fetoprotein (AFP) and high alkaline phosphatase (ALP) levels. Fifteen patients were treated with NTBC, normalization of PT (Prothrombine time) was achieved in average in 14 days. The other biochemical parameters of liver function (transaminases, GGT, ALP, bilirubin and albumin) took longer to improve and </w:t>
      </w:r>
      <w:proofErr w:type="gramStart"/>
      <w:r w:rsidRPr="00EE75DE">
        <w:rPr>
          <w:rFonts w:asciiTheme="majorBidi" w:eastAsia="Times New Roman" w:hAnsiTheme="majorBidi" w:cstheme="majorBidi"/>
          <w:color w:val="333333"/>
          <w:sz w:val="24"/>
          <w:szCs w:val="24"/>
        </w:rPr>
        <w:t xml:space="preserve">several </w:t>
      </w:r>
      <w:r w:rsidR="00EE75DE">
        <w:rPr>
          <w:rFonts w:asciiTheme="majorBidi" w:eastAsia="Times New Roman" w:hAnsiTheme="majorBidi" w:cstheme="majorBidi"/>
          <w:color w:val="333333"/>
          <w:sz w:val="24"/>
          <w:szCs w:val="24"/>
        </w:rPr>
        <w:t xml:space="preserve"> </w:t>
      </w:r>
      <w:r w:rsidRPr="00EE75DE">
        <w:rPr>
          <w:rFonts w:asciiTheme="majorBidi" w:eastAsia="Times New Roman" w:hAnsiTheme="majorBidi" w:cstheme="majorBidi"/>
          <w:color w:val="333333"/>
          <w:sz w:val="24"/>
          <w:szCs w:val="24"/>
        </w:rPr>
        <w:t>months</w:t>
      </w:r>
      <w:proofErr w:type="gramEnd"/>
      <w:r w:rsidRPr="00EE75DE">
        <w:rPr>
          <w:rFonts w:asciiTheme="majorBidi" w:eastAsia="Times New Roman" w:hAnsiTheme="majorBidi" w:cstheme="majorBidi"/>
          <w:color w:val="333333"/>
          <w:sz w:val="24"/>
          <w:szCs w:val="24"/>
        </w:rPr>
        <w:t xml:space="preserve"> to be normalized. Survival rate with NTBC was 86.6%. Patients who started treatment in a median of 3 months post onset observed a fast drop of AFP in 90.6% of patients (P = 0.003). Abnormal liver function and rickets were the </w:t>
      </w:r>
      <w:proofErr w:type="gramStart"/>
      <w:r w:rsidR="00EE75DE" w:rsidRPr="00EE75DE">
        <w:rPr>
          <w:rFonts w:asciiTheme="majorBidi" w:eastAsia="Times New Roman" w:hAnsiTheme="majorBidi" w:cstheme="majorBidi"/>
          <w:color w:val="333333"/>
          <w:sz w:val="24"/>
          <w:szCs w:val="24"/>
        </w:rPr>
        <w:t>common</w:t>
      </w:r>
      <w:r w:rsidR="00EE75DE">
        <w:rPr>
          <w:rFonts w:asciiTheme="majorBidi" w:eastAsia="Times New Roman" w:hAnsiTheme="majorBidi" w:cstheme="majorBidi"/>
          <w:color w:val="333333"/>
          <w:sz w:val="24"/>
          <w:szCs w:val="24"/>
        </w:rPr>
        <w:t xml:space="preserve"> </w:t>
      </w:r>
      <w:r w:rsidR="00EE75DE" w:rsidRPr="00EE75DE">
        <w:rPr>
          <w:rFonts w:asciiTheme="majorBidi" w:eastAsia="Times New Roman" w:hAnsiTheme="majorBidi" w:cstheme="majorBidi"/>
          <w:color w:val="333333"/>
          <w:sz w:val="24"/>
          <w:szCs w:val="24"/>
        </w:rPr>
        <w:t xml:space="preserve"> </w:t>
      </w:r>
      <w:r w:rsidR="00EE75DE">
        <w:rPr>
          <w:rFonts w:asciiTheme="majorBidi" w:eastAsia="Times New Roman" w:hAnsiTheme="majorBidi" w:cstheme="majorBidi"/>
          <w:color w:val="333333"/>
          <w:sz w:val="24"/>
          <w:szCs w:val="24"/>
        </w:rPr>
        <w:t>presentations</w:t>
      </w:r>
      <w:proofErr w:type="gramEnd"/>
      <w:r w:rsidRPr="00EE75DE">
        <w:rPr>
          <w:rFonts w:asciiTheme="majorBidi" w:eastAsia="Times New Roman" w:hAnsiTheme="majorBidi" w:cstheme="majorBidi"/>
          <w:color w:val="333333"/>
          <w:sz w:val="24"/>
          <w:szCs w:val="24"/>
        </w:rPr>
        <w:t>, GGT was an early cholestatic sensitive test. ALP was constantly high even in asymptomatic patients.</w:t>
      </w:r>
    </w:p>
    <w:p w:rsidR="00CC7327" w:rsidRPr="00EE75DE" w:rsidRDefault="00CC7327" w:rsidP="00CC7327">
      <w:pPr>
        <w:shd w:val="clear" w:color="auto" w:fill="FFFFFF"/>
        <w:spacing w:after="120" w:line="228" w:lineRule="atLeast"/>
        <w:jc w:val="both"/>
        <w:rPr>
          <w:rFonts w:asciiTheme="majorBidi" w:eastAsia="Times New Roman" w:hAnsiTheme="majorBidi" w:cstheme="majorBidi"/>
          <w:color w:val="333333"/>
          <w:sz w:val="24"/>
          <w:szCs w:val="24"/>
        </w:rPr>
      </w:pPr>
      <w:r w:rsidRPr="00EE75DE">
        <w:rPr>
          <w:rFonts w:asciiTheme="majorBidi" w:eastAsia="Times New Roman" w:hAnsiTheme="majorBidi" w:cstheme="majorBidi"/>
          <w:b/>
          <w:bCs/>
          <w:color w:val="333333"/>
          <w:sz w:val="24"/>
          <w:szCs w:val="24"/>
        </w:rPr>
        <w:t>Conclusions:</w:t>
      </w:r>
      <w:r w:rsidRPr="00EE75DE">
        <w:rPr>
          <w:rFonts w:asciiTheme="majorBidi" w:eastAsia="Times New Roman" w:hAnsiTheme="majorBidi" w:cstheme="majorBidi"/>
          <w:color w:val="333333"/>
          <w:sz w:val="24"/>
          <w:szCs w:val="24"/>
        </w:rPr>
        <w:t xml:space="preserve"> In </w:t>
      </w:r>
      <w:proofErr w:type="gramStart"/>
      <w:r w:rsidRPr="00EE75DE">
        <w:rPr>
          <w:rFonts w:asciiTheme="majorBidi" w:eastAsia="Times New Roman" w:hAnsiTheme="majorBidi" w:cstheme="majorBidi"/>
          <w:color w:val="333333"/>
          <w:sz w:val="24"/>
          <w:szCs w:val="24"/>
        </w:rPr>
        <w:t>HT1</w:t>
      </w:r>
      <w:proofErr w:type="gramEnd"/>
      <w:r w:rsidRPr="00EE75DE">
        <w:rPr>
          <w:rFonts w:asciiTheme="majorBidi" w:eastAsia="Times New Roman" w:hAnsiTheme="majorBidi" w:cstheme="majorBidi"/>
          <w:color w:val="333333"/>
          <w:sz w:val="24"/>
          <w:szCs w:val="24"/>
        </w:rPr>
        <w:t xml:space="preserve"> a faster dropping of AFP is a marker of good prognosis.</w:t>
      </w:r>
    </w:p>
    <w:p w:rsidR="00CC7327" w:rsidRDefault="00CC7327" w:rsidP="00CC7327"/>
    <w:sectPr w:rsidR="00CC7327" w:rsidSect="00A835CD">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proofState w:spelling="clean" w:grammar="clean"/>
  <w:defaultTabStop w:val="720"/>
  <w:characterSpacingControl w:val="doNotCompress"/>
  <w:savePreviewPicture/>
  <w:compat/>
  <w:rsids>
    <w:rsidRoot w:val="00CC7327"/>
    <w:rsid w:val="00A835CD"/>
    <w:rsid w:val="00CC7327"/>
    <w:rsid w:val="00EE75D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3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jp.tums.pub/en/articles/3608.html" TargetMode="External"/><Relationship Id="rId3" Type="http://schemas.openxmlformats.org/officeDocument/2006/relationships/webSettings" Target="webSettings.xml"/><Relationship Id="rId7" Type="http://schemas.openxmlformats.org/officeDocument/2006/relationships/hyperlink" Target="http://ijp.tums.pub/en/search/result.html?q=Emna%20Barkaou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jp.tums.pub/en/articles/3608.html" TargetMode="External"/><Relationship Id="rId11" Type="http://schemas.openxmlformats.org/officeDocument/2006/relationships/theme" Target="theme/theme1.xml"/><Relationship Id="rId5" Type="http://schemas.openxmlformats.org/officeDocument/2006/relationships/hyperlink" Target="http://ijp.tums.pub/en/articles/3608.html" TargetMode="External"/><Relationship Id="rId10" Type="http://schemas.openxmlformats.org/officeDocument/2006/relationships/fontTable" Target="fontTable.xml"/><Relationship Id="rId4" Type="http://schemas.openxmlformats.org/officeDocument/2006/relationships/hyperlink" Target="http://ijp.tums.pub/en/search/result.html?q=Hanna%20Alobaidy" TargetMode="External"/><Relationship Id="rId9" Type="http://schemas.openxmlformats.org/officeDocument/2006/relationships/hyperlink" Target="http://ijp.tums.pub/en/articles/360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369</Words>
  <Characters>2104</Characters>
  <Application>Microsoft Office Word</Application>
  <DocSecurity>0</DocSecurity>
  <Lines>17</Lines>
  <Paragraphs>4</Paragraphs>
  <ScaleCrop>false</ScaleCrop>
  <Company/>
  <LinksUpToDate>false</LinksUpToDate>
  <CharactersWithSpaces>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2018-01-15T19:51:00Z</dcterms:created>
  <dcterms:modified xsi:type="dcterms:W3CDTF">2018-01-15T19:55:00Z</dcterms:modified>
</cp:coreProperties>
</file>