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b/>
          <w:szCs w:val="21"/>
        </w:rPr>
      </w:pPr>
      <w:r>
        <w:rPr>
          <w:rFonts w:hint="eastAsia"/>
          <w:b/>
          <w:szCs w:val="21"/>
        </w:rPr>
        <w:t xml:space="preserve">Laparoscopic surgery </w:t>
      </w:r>
      <w:r>
        <w:rPr>
          <w:b/>
          <w:szCs w:val="21"/>
        </w:rPr>
        <w:t>for the treatment of pediatric incarcerated inguinal hernia: 10 years experience in a single institution</w:t>
      </w:r>
    </w:p>
    <w:p>
      <w:pPr>
        <w:rPr>
          <w:b/>
          <w:szCs w:val="21"/>
        </w:rPr>
      </w:pPr>
    </w:p>
    <w:p>
      <w:pPr>
        <w:rPr>
          <w:b/>
          <w:szCs w:val="21"/>
        </w:rPr>
      </w:pPr>
      <w:r>
        <w:rPr>
          <w:rFonts w:hint="eastAsia"/>
          <w:b/>
          <w:sz w:val="22"/>
          <w:szCs w:val="21"/>
        </w:rPr>
        <w:t>Binggen Li</w:t>
      </w:r>
      <w:r>
        <w:rPr>
          <w:rFonts w:hint="eastAsia"/>
          <w:b/>
          <w:szCs w:val="21"/>
        </w:rPr>
        <w:t xml:space="preserve">, Xiangyang Nie, Duhui Gong, Yonghui Peng, Yuxuan Mo, Zhihua Xie </w:t>
      </w:r>
    </w:p>
    <w:p>
      <w:pPr>
        <w:rPr>
          <w:b/>
          <w:szCs w:val="21"/>
        </w:rPr>
      </w:pPr>
    </w:p>
    <w:p>
      <w:pPr>
        <w:rPr>
          <w:b/>
          <w:szCs w:val="21"/>
        </w:rPr>
      </w:pPr>
      <w:r>
        <w:rPr>
          <w:rFonts w:hint="eastAsia"/>
          <w:b/>
          <w:szCs w:val="21"/>
        </w:rPr>
        <w:t>Dedpartment of General Surgery, The Affiliated Hexian Memorial Hospital, Southern Medical University</w:t>
      </w:r>
    </w:p>
    <w:p>
      <w:pPr>
        <w:rPr>
          <w:b/>
          <w:i/>
          <w:szCs w:val="21"/>
        </w:rPr>
      </w:pPr>
    </w:p>
    <w:p>
      <w:pPr>
        <w:rPr>
          <w:szCs w:val="21"/>
        </w:rPr>
      </w:pPr>
      <w:r>
        <w:rPr>
          <w:b/>
          <w:i/>
          <w:szCs w:val="21"/>
        </w:rPr>
        <w:t>Background</w:t>
      </w:r>
      <w:r>
        <w:rPr>
          <w:szCs w:val="21"/>
        </w:rPr>
        <w:t xml:space="preserve"> Many children with inguinal hernia would experience the scenarios of incarceration. Fatal consequences will arise if it was not handled properly and timely. In the last decade. We utilized laparoscopic surgery to reduced and repaired incarcerated inguinal hernia (IIH) for children. We report the experience of a large series in our institution.</w:t>
      </w:r>
    </w:p>
    <w:p>
      <w:pPr>
        <w:rPr>
          <w:szCs w:val="21"/>
        </w:rPr>
      </w:pPr>
      <w:r>
        <w:rPr>
          <w:b/>
          <w:i/>
          <w:szCs w:val="21"/>
        </w:rPr>
        <w:t>M</w:t>
      </w:r>
      <w:r>
        <w:rPr>
          <w:rFonts w:hint="eastAsia"/>
          <w:b/>
          <w:i/>
          <w:szCs w:val="21"/>
        </w:rPr>
        <w:t>ethods</w:t>
      </w:r>
      <w:r>
        <w:rPr>
          <w:rFonts w:hint="eastAsia"/>
          <w:szCs w:val="21"/>
        </w:rPr>
        <w:t xml:space="preserve"> </w:t>
      </w:r>
      <w:r>
        <w:rPr>
          <w:szCs w:val="21"/>
        </w:rPr>
        <w:t>In the last decade more than 4000 children with inguinal hernia were treated by</w:t>
      </w:r>
      <w:r>
        <w:rPr>
          <w:rFonts w:hint="eastAsia"/>
          <w:szCs w:val="21"/>
        </w:rPr>
        <w:t xml:space="preserve"> </w:t>
      </w:r>
      <w:r>
        <w:rPr>
          <w:szCs w:val="21"/>
        </w:rPr>
        <w:t>laparoscopic surgery in our institution. Over 30% had experienced the episodes of hernia incarceration before they visited us. There were 521 children needed emergent admittance due to hernia incarceration. Manual reduction was performed on 314 patients and they were rendered to selective operation subsequently, while 207 cases needed urgent laparoscopic operation. In the surgical group, 60 cases who suffered the hernia incarceration more than 12 hours, we operated on them urgently even a successful manual reduction was performed. On the other hand, we gave emergent operation on 147 children due to irreducible hernia. In this study we focus on the 207 emergency surgical cases.</w:t>
      </w:r>
    </w:p>
    <w:p>
      <w:pPr>
        <w:rPr>
          <w:szCs w:val="21"/>
        </w:rPr>
      </w:pPr>
      <w:r>
        <w:rPr>
          <w:b/>
          <w:i/>
          <w:szCs w:val="21"/>
        </w:rPr>
        <w:t>R</w:t>
      </w:r>
      <w:r>
        <w:rPr>
          <w:rFonts w:hint="eastAsia"/>
          <w:b/>
          <w:i/>
          <w:szCs w:val="21"/>
        </w:rPr>
        <w:t>es</w:t>
      </w:r>
      <w:r>
        <w:rPr>
          <w:b/>
          <w:i/>
          <w:szCs w:val="21"/>
        </w:rPr>
        <w:t>ults</w:t>
      </w:r>
      <w:r>
        <w:rPr>
          <w:b/>
          <w:szCs w:val="21"/>
        </w:rPr>
        <w:t xml:space="preserve"> </w:t>
      </w:r>
      <w:r>
        <w:rPr>
          <w:szCs w:val="21"/>
        </w:rPr>
        <w:t>All surgery was successful without serious</w:t>
      </w:r>
      <w:r>
        <w:rPr>
          <w:rFonts w:hint="eastAsia"/>
          <w:szCs w:val="21"/>
        </w:rPr>
        <w:t xml:space="preserve"> </w:t>
      </w:r>
      <w:r>
        <w:rPr>
          <w:szCs w:val="21"/>
        </w:rPr>
        <w:t>complications. Two cases needed open conversion because hernia was irreducible under laparoscopy. The mean operative time was（</w:t>
      </w:r>
      <w:r>
        <w:rPr>
          <w:rFonts w:hint="eastAsia"/>
          <w:szCs w:val="21"/>
        </w:rPr>
        <w:t>27±11</w:t>
      </w:r>
      <w:r>
        <w:rPr>
          <w:szCs w:val="21"/>
        </w:rPr>
        <w:t>）min. The</w:t>
      </w:r>
      <w:r>
        <w:rPr>
          <w:rFonts w:hint="eastAsia"/>
          <w:szCs w:val="21"/>
        </w:rPr>
        <w:t xml:space="preserve"> </w:t>
      </w:r>
      <w:r>
        <w:rPr>
          <w:szCs w:val="21"/>
        </w:rPr>
        <w:t>mean of postoperative hospital stay was（</w:t>
      </w:r>
      <w:r>
        <w:rPr>
          <w:rFonts w:hint="eastAsia"/>
          <w:szCs w:val="21"/>
        </w:rPr>
        <w:t>49±20</w:t>
      </w:r>
      <w:r>
        <w:rPr>
          <w:szCs w:val="21"/>
        </w:rPr>
        <w:t>）h. During the operations, contralateral patent</w:t>
      </w:r>
      <w:r>
        <w:rPr>
          <w:rFonts w:hint="eastAsia"/>
          <w:szCs w:val="21"/>
        </w:rPr>
        <w:t xml:space="preserve"> </w:t>
      </w:r>
      <w:r>
        <w:rPr>
          <w:szCs w:val="21"/>
        </w:rPr>
        <w:t>processus vaginalis was found and subsequently repaired in</w:t>
      </w:r>
      <w:r>
        <w:rPr>
          <w:rFonts w:hint="eastAsia"/>
          <w:szCs w:val="21"/>
        </w:rPr>
        <w:t xml:space="preserve"> </w:t>
      </w:r>
      <w:r>
        <w:rPr>
          <w:szCs w:val="21"/>
        </w:rPr>
        <w:t>63 cases (30.4 %). Mild complications occurred in 5 cases, no major impact on</w:t>
      </w:r>
      <w:r>
        <w:rPr>
          <w:rFonts w:hint="eastAsia"/>
          <w:szCs w:val="21"/>
        </w:rPr>
        <w:t xml:space="preserve"> </w:t>
      </w:r>
      <w:r>
        <w:rPr>
          <w:szCs w:val="21"/>
        </w:rPr>
        <w:t>final outcome. There were 6 recurrent cases</w:t>
      </w:r>
      <w:r>
        <w:rPr>
          <w:rFonts w:hint="eastAsia"/>
          <w:szCs w:val="21"/>
        </w:rPr>
        <w:t xml:space="preserve"> </w:t>
      </w:r>
      <w:r>
        <w:rPr>
          <w:szCs w:val="21"/>
        </w:rPr>
        <w:t>(2.90 %) in these patients who had been followed-up for</w:t>
      </w:r>
      <w:r>
        <w:rPr>
          <w:rFonts w:hint="eastAsia"/>
          <w:szCs w:val="21"/>
        </w:rPr>
        <w:t xml:space="preserve"> </w:t>
      </w:r>
      <w:r>
        <w:rPr>
          <w:szCs w:val="21"/>
        </w:rPr>
        <w:t xml:space="preserve">3–143 months. </w:t>
      </w:r>
    </w:p>
    <w:p>
      <w:pPr>
        <w:rPr>
          <w:szCs w:val="21"/>
        </w:rPr>
      </w:pPr>
      <w:r>
        <w:rPr>
          <w:b/>
          <w:i/>
          <w:szCs w:val="21"/>
        </w:rPr>
        <w:t>C</w:t>
      </w:r>
      <w:r>
        <w:rPr>
          <w:rFonts w:hint="eastAsia"/>
          <w:b/>
          <w:i/>
          <w:szCs w:val="21"/>
        </w:rPr>
        <w:t>onclusions</w:t>
      </w:r>
      <w:r>
        <w:rPr>
          <w:szCs w:val="21"/>
        </w:rPr>
        <w:t xml:space="preserve"> Laparoscopic surgery is a safe and reliable alterative for the treatment of pediatric IIH. It has the advantages of minimally invasive</w:t>
      </w:r>
      <w:r>
        <w:rPr>
          <w:rFonts w:hint="eastAsia"/>
          <w:szCs w:val="21"/>
        </w:rPr>
        <w:t xml:space="preserve"> and highly efficient that</w:t>
      </w:r>
      <w:r>
        <w:rPr>
          <w:szCs w:val="21"/>
        </w:rPr>
        <w:t xml:space="preserve"> enable attain a satisfactory outcome. Vitality of the incarcerated organ can be inspected while strangulation was rare in pediatric IIH.</w:t>
      </w:r>
    </w:p>
    <w:p/>
    <w:p>
      <w:pPr>
        <w:rPr>
          <w:rFonts w:hint="eastAsia"/>
          <w:kern w:val="0"/>
          <w:sz w:val="22"/>
        </w:rPr>
      </w:pPr>
      <w:r>
        <w:rPr>
          <w:rFonts w:ascii="Times New Roman" w:hAnsi="Times New Roman" w:eastAsia="Calibri"/>
          <w:sz w:val="24"/>
          <w:szCs w:val="24"/>
        </w:rPr>
        <w:t>Keywords：</w:t>
      </w:r>
      <w:r>
        <w:rPr>
          <w:rFonts w:hint="eastAsia" w:ascii="Times New Roman" w:hAnsi="Times New Roman" w:eastAsia="Calibri"/>
          <w:sz w:val="24"/>
          <w:szCs w:val="24"/>
        </w:rPr>
        <w:t>H</w:t>
      </w:r>
      <w:r>
        <w:rPr>
          <w:rFonts w:ascii="Times New Roman" w:hAnsi="Times New Roman" w:eastAsia="Calibri"/>
          <w:sz w:val="24"/>
          <w:szCs w:val="24"/>
        </w:rPr>
        <w:t>igh liga</w:t>
      </w:r>
      <w:r>
        <w:rPr>
          <w:rFonts w:ascii="Times New Roman" w:hAnsi="Times New Roman"/>
          <w:sz w:val="24"/>
          <w:szCs w:val="24"/>
        </w:rPr>
        <w:t>tion</w:t>
      </w:r>
      <w:r>
        <w:rPr>
          <w:rFonts w:ascii="Times New Roman" w:hAnsi="Times New Roman" w:eastAsia="Calibri"/>
          <w:sz w:val="24"/>
          <w:szCs w:val="24"/>
        </w:rPr>
        <w:t>, Laparoscopic, Pediatric incarcerated inguinal hernia</w:t>
      </w:r>
    </w:p>
    <w:p/>
    <w:p/>
    <w:p/>
    <w:p>
      <w:pPr>
        <w:rPr>
          <w:rFonts w:ascii="Times New Roman" w:hAnsi="Times New Roman" w:eastAsia="Calibri"/>
          <w:b/>
          <w:bCs/>
          <w:sz w:val="24"/>
          <w:szCs w:val="24"/>
        </w:rPr>
      </w:pPr>
      <w:r>
        <w:rPr>
          <w:rFonts w:ascii="Times New Roman" w:hAnsi="Times New Roman" w:eastAsia="Calibri"/>
          <w:b/>
          <w:bCs/>
          <w:sz w:val="24"/>
          <w:szCs w:val="24"/>
        </w:rPr>
        <w:t xml:space="preserve">Professional Biography of </w:t>
      </w:r>
      <w:r>
        <w:rPr>
          <w:rFonts w:hint="eastAsia" w:ascii="Times New Roman" w:hAnsi="Times New Roman" w:eastAsia="Calibri"/>
          <w:b/>
          <w:bCs/>
          <w:sz w:val="24"/>
          <w:szCs w:val="24"/>
        </w:rPr>
        <w:t>Binggen Li</w:t>
      </w:r>
    </w:p>
    <w:p>
      <w:pPr>
        <w:rPr>
          <w:szCs w:val="21"/>
        </w:rPr>
      </w:pPr>
      <w:r>
        <w:rPr>
          <w:rFonts w:ascii="Times New Roman" w:hAnsi="Times New Roman" w:eastAsia="Calibri"/>
          <w:sz w:val="24"/>
          <w:szCs w:val="24"/>
        </w:rPr>
        <w:t>After my graduation from SYSU in 2004. I dedicate myself to surgery. I am specialize in Minimally Invasive Surgery, Hepatobiliary Surgery and Hernia &amp; Abdominal Wall Surgery. Master the diagnosis and treatment of various diseases in general surgery. I am able to accomplish a variety of high difficulty operation, including laparoscopic hepatectomy, splenectomy, cholecystectomy, laparoscopic inguinal hernia repair (LIHR). I perform over 300 laparoscopic operations annually, and have finished over 2000 pediatric LIHR operations individually. I have fulfilled my further study in the PLA General Hospital(301 Hospital) and Beijing Chao-yang Hospital subsequently. Engaged in the study of hepatobiliary &amp; gastrointestinal surgical oncology and Hernia surgery. Participated in the research projects of my specialty. I have published more than 10 medical papers, especially one published in “Surgical Endoscopy”.(IF 4.013).</w:t>
      </w:r>
    </w:p>
    <w:p/>
    <w:p/>
    <w:p>
      <w:pPr>
        <w:rPr>
          <w:rFonts w:hint="eastAsia" w:eastAsiaTheme="minorEastAsia"/>
          <w:lang w:eastAsia="zh-CN"/>
        </w:rPr>
      </w:pPr>
      <w:r>
        <w:rPr>
          <w:rFonts w:hint="eastAsia" w:eastAsiaTheme="minorEastAsia"/>
          <w:lang w:eastAsia="zh-CN"/>
        </w:rPr>
        <w:drawing>
          <wp:inline distT="0" distB="0" distL="114300" distR="114300">
            <wp:extent cx="2302510" cy="2865120"/>
            <wp:effectExtent l="0" t="0" r="8890" b="5080"/>
            <wp:docPr id="1" name="图片 1" descr="我的头像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我的头像1"/>
                    <pic:cNvPicPr>
                      <a:picLocks noChangeAspect="1"/>
                    </pic:cNvPicPr>
                  </pic:nvPicPr>
                  <pic:blipFill>
                    <a:blip r:embed="rId4"/>
                    <a:stretch>
                      <a:fillRect/>
                    </a:stretch>
                  </pic:blipFill>
                  <pic:spPr>
                    <a:xfrm>
                      <a:off x="0" y="0"/>
                      <a:ext cx="2302510" cy="2865120"/>
                    </a:xfrm>
                    <a:prstGeom prst="rect">
                      <a:avLst/>
                    </a:prstGeom>
                  </pic:spPr>
                </pic:pic>
              </a:graphicData>
            </a:graphic>
          </wp:inline>
        </w:drawing>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76AF"/>
    <w:rsid w:val="000D5E4D"/>
    <w:rsid w:val="001D5D59"/>
    <w:rsid w:val="004076AF"/>
    <w:rsid w:val="00682F1C"/>
    <w:rsid w:val="00C1154E"/>
    <w:rsid w:val="00DD1E02"/>
    <w:rsid w:val="0D7333BB"/>
    <w:rsid w:val="0E5D2107"/>
    <w:rsid w:val="320A3571"/>
    <w:rsid w:val="3C442BEC"/>
    <w:rsid w:val="7FC669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unhideWhenUsed/>
    <w:uiPriority w:val="1"/>
  </w:style>
  <w:style w:type="table" w:default="1" w:styleId="5">
    <w:name w:val="Normal Table"/>
    <w:unhideWhenUsed/>
    <w:uiPriority w:val="99"/>
    <w:tblPr>
      <w:tblLayout w:type="fixed"/>
      <w:tblCellMar>
        <w:top w:w="0" w:type="dxa"/>
        <w:left w:w="108" w:type="dxa"/>
        <w:bottom w:w="0" w:type="dxa"/>
        <w:right w:w="108" w:type="dxa"/>
      </w:tblCellMar>
    </w:tblPr>
  </w:style>
  <w:style w:type="paragraph" w:styleId="2">
    <w:name w:val="footer"/>
    <w:basedOn w:val="1"/>
    <w:link w:val="7"/>
    <w:uiPriority w:val="0"/>
    <w:pPr>
      <w:tabs>
        <w:tab w:val="center" w:pos="4153"/>
        <w:tab w:val="right" w:pos="8306"/>
      </w:tabs>
      <w:snapToGrid w:val="0"/>
      <w:jc w:val="left"/>
    </w:pPr>
    <w:rPr>
      <w:sz w:val="18"/>
      <w:szCs w:val="18"/>
    </w:rPr>
  </w:style>
  <w:style w:type="paragraph" w:styleId="3">
    <w:name w:val="header"/>
    <w:basedOn w:val="1"/>
    <w:link w:val="6"/>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4"/>
    <w:link w:val="3"/>
    <w:uiPriority w:val="0"/>
    <w:rPr>
      <w:kern w:val="2"/>
      <w:sz w:val="18"/>
      <w:szCs w:val="18"/>
    </w:rPr>
  </w:style>
  <w:style w:type="character" w:customStyle="1" w:styleId="7">
    <w:name w:val="页脚 Char"/>
    <w:basedOn w:val="4"/>
    <w:link w:val="2"/>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496</Words>
  <Characters>2833</Characters>
  <Lines>23</Lines>
  <Paragraphs>6</Paragraphs>
  <TotalTime>0</TotalTime>
  <ScaleCrop>false</ScaleCrop>
  <LinksUpToDate>false</LinksUpToDate>
  <CharactersWithSpaces>3323</CharactersWithSpaces>
  <Application>WPS Office_10.1.0.6929_F1E327BC-269C-435d-A152-05C5408002CA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bingg</dc:creator>
  <cp:lastModifiedBy>里根（李炳根）</cp:lastModifiedBy>
  <dcterms:modified xsi:type="dcterms:W3CDTF">2017-12-03T03:29:14Z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