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B91" w:rsidRDefault="002A2BBF" w:rsidP="00282B91">
      <w:pPr>
        <w:autoSpaceDE w:val="0"/>
        <w:autoSpaceDN w:val="0"/>
        <w:adjustRightInd w:val="0"/>
        <w:spacing w:after="0"/>
        <w:rPr>
          <w:rFonts w:ascii="AdvGulliv-F" w:hAnsi="AdvGulliv-F" w:cs="AdvGulliv-F"/>
          <w:b/>
          <w:bCs/>
          <w:sz w:val="24"/>
          <w:szCs w:val="24"/>
        </w:rPr>
      </w:pPr>
      <w:r>
        <w:rPr>
          <w:rFonts w:ascii="AdvGulliv-F" w:hAnsi="AdvGulliv-F" w:cs="AdvGulliv-F"/>
          <w:b/>
          <w:bCs/>
          <w:sz w:val="24"/>
          <w:szCs w:val="24"/>
        </w:rPr>
        <w:t>TWO LIBYAN SIBLINGS WITH BETA-KETOTHIOLAS DEFICIENCY: A CASE REPORT AND REVIEW OF LITERATURE</w:t>
      </w:r>
    </w:p>
    <w:p w:rsidR="003D17B8" w:rsidRDefault="003D17B8" w:rsidP="003D17B8">
      <w:pPr>
        <w:autoSpaceDE w:val="0"/>
        <w:autoSpaceDN w:val="0"/>
        <w:adjustRightInd w:val="0"/>
        <w:spacing w:after="0" w:line="240" w:lineRule="auto"/>
        <w:rPr>
          <w:rFonts w:ascii="AdvGulliv-R" w:hAnsi="AdvGulliv-R" w:cs="AdvGulliv-R"/>
          <w:color w:val="000000"/>
          <w:sz w:val="21"/>
          <w:szCs w:val="21"/>
        </w:rPr>
      </w:pPr>
      <w:r>
        <w:rPr>
          <w:rFonts w:ascii="AdvGulliv-R" w:hAnsi="AdvGulliv-R" w:cs="AdvGulliv-R"/>
          <w:color w:val="000000"/>
          <w:sz w:val="21"/>
          <w:szCs w:val="21"/>
        </w:rPr>
        <w:t xml:space="preserve">Elsayed Abdelkreem </w:t>
      </w:r>
      <w:r>
        <w:rPr>
          <w:rFonts w:ascii="AdvGulliv-R" w:hAnsi="AdvGulliv-R" w:cs="AdvGulliv-R"/>
          <w:color w:val="0080AE"/>
          <w:sz w:val="14"/>
          <w:szCs w:val="14"/>
        </w:rPr>
        <w:t>a</w:t>
      </w:r>
      <w:r>
        <w:rPr>
          <w:rFonts w:ascii="AdvGulliv-R" w:hAnsi="AdvGulliv-R" w:cs="AdvGulliv-R"/>
          <w:color w:val="000000"/>
          <w:sz w:val="14"/>
          <w:szCs w:val="14"/>
        </w:rPr>
        <w:t>,</w:t>
      </w:r>
      <w:r>
        <w:rPr>
          <w:rFonts w:ascii="AdvGulliv-R" w:hAnsi="AdvGulliv-R" w:cs="AdvGulliv-R"/>
          <w:color w:val="0080AE"/>
          <w:sz w:val="14"/>
          <w:szCs w:val="14"/>
        </w:rPr>
        <w:t>b</w:t>
      </w:r>
      <w:r>
        <w:rPr>
          <w:rFonts w:ascii="AdvGulliv-R" w:hAnsi="AdvGulliv-R" w:cs="AdvGulliv-R"/>
          <w:color w:val="000000"/>
          <w:sz w:val="21"/>
          <w:szCs w:val="21"/>
        </w:rPr>
        <w:t xml:space="preserve">, </w:t>
      </w:r>
      <w:r w:rsidRPr="002A2BBF">
        <w:rPr>
          <w:rFonts w:ascii="AdvGulliv-R" w:hAnsi="AdvGulliv-R" w:cs="AdvGulliv-R"/>
          <w:b/>
          <w:bCs/>
          <w:color w:val="000000"/>
          <w:sz w:val="21"/>
          <w:szCs w:val="21"/>
          <w:u w:val="single"/>
        </w:rPr>
        <w:t>Hanna Alobaidy</w:t>
      </w:r>
      <w:r>
        <w:rPr>
          <w:rFonts w:ascii="AdvGulliv-R" w:hAnsi="AdvGulliv-R" w:cs="AdvGulliv-R"/>
          <w:color w:val="000000"/>
          <w:sz w:val="21"/>
          <w:szCs w:val="21"/>
        </w:rPr>
        <w:t xml:space="preserve"> </w:t>
      </w:r>
      <w:r>
        <w:rPr>
          <w:rFonts w:ascii="AdvGulliv-R" w:hAnsi="AdvGulliv-R" w:cs="AdvGulliv-R"/>
          <w:color w:val="0080AE"/>
          <w:sz w:val="14"/>
          <w:szCs w:val="14"/>
        </w:rPr>
        <w:t>c</w:t>
      </w:r>
      <w:r>
        <w:rPr>
          <w:rFonts w:ascii="AdvGulliv-R" w:hAnsi="AdvGulliv-R" w:cs="AdvGulliv-R"/>
          <w:color w:val="000000"/>
          <w:sz w:val="21"/>
          <w:szCs w:val="21"/>
        </w:rPr>
        <w:t xml:space="preserve">, Yuka Aoyama </w:t>
      </w:r>
      <w:r>
        <w:rPr>
          <w:rFonts w:ascii="AdvGulliv-R" w:hAnsi="AdvGulliv-R" w:cs="AdvGulliv-R"/>
          <w:color w:val="0080AE"/>
          <w:sz w:val="14"/>
          <w:szCs w:val="14"/>
        </w:rPr>
        <w:t>d</w:t>
      </w:r>
      <w:r>
        <w:rPr>
          <w:rFonts w:ascii="AdvGulliv-R" w:hAnsi="AdvGulliv-R" w:cs="AdvGulliv-R"/>
          <w:color w:val="000000"/>
          <w:sz w:val="21"/>
          <w:szCs w:val="21"/>
        </w:rPr>
        <w:t xml:space="preserve">, </w:t>
      </w:r>
      <w:proofErr w:type="spellStart"/>
      <w:r>
        <w:rPr>
          <w:rFonts w:ascii="AdvGulliv-R" w:hAnsi="AdvGulliv-R" w:cs="AdvGulliv-R"/>
          <w:color w:val="000000"/>
          <w:sz w:val="21"/>
          <w:szCs w:val="21"/>
        </w:rPr>
        <w:t>Shaimaa</w:t>
      </w:r>
      <w:proofErr w:type="spellEnd"/>
      <w:r>
        <w:rPr>
          <w:rFonts w:ascii="AdvGulliv-R" w:hAnsi="AdvGulliv-R" w:cs="AdvGulliv-R"/>
          <w:color w:val="000000"/>
          <w:sz w:val="21"/>
          <w:szCs w:val="21"/>
        </w:rPr>
        <w:t xml:space="preserve"> </w:t>
      </w:r>
      <w:proofErr w:type="spellStart"/>
      <w:r>
        <w:rPr>
          <w:rFonts w:ascii="AdvGulliv-R" w:hAnsi="AdvGulliv-R" w:cs="AdvGulliv-R"/>
          <w:color w:val="000000"/>
          <w:sz w:val="21"/>
          <w:szCs w:val="21"/>
        </w:rPr>
        <w:t>Mahmoud</w:t>
      </w:r>
      <w:proofErr w:type="spellEnd"/>
      <w:r>
        <w:rPr>
          <w:rFonts w:ascii="AdvGulliv-R" w:hAnsi="AdvGulliv-R" w:cs="AdvGulliv-R"/>
          <w:color w:val="000000"/>
          <w:sz w:val="21"/>
          <w:szCs w:val="21"/>
        </w:rPr>
        <w:t xml:space="preserve"> </w:t>
      </w:r>
      <w:r>
        <w:rPr>
          <w:rFonts w:ascii="AdvGulliv-R" w:hAnsi="AdvGulliv-R" w:cs="AdvGulliv-R"/>
          <w:color w:val="0080AE"/>
          <w:sz w:val="14"/>
          <w:szCs w:val="14"/>
        </w:rPr>
        <w:t>b</w:t>
      </w:r>
      <w:r>
        <w:rPr>
          <w:rFonts w:ascii="AdvGulliv-R" w:hAnsi="AdvGulliv-R" w:cs="AdvGulliv-R"/>
          <w:color w:val="000000"/>
          <w:sz w:val="21"/>
          <w:szCs w:val="21"/>
        </w:rPr>
        <w:t xml:space="preserve">, Mohamed </w:t>
      </w:r>
      <w:proofErr w:type="spellStart"/>
      <w:r>
        <w:rPr>
          <w:rFonts w:ascii="AdvGulliv-R" w:hAnsi="AdvGulliv-R" w:cs="AdvGulliv-R"/>
          <w:color w:val="000000"/>
          <w:sz w:val="21"/>
          <w:szCs w:val="21"/>
        </w:rPr>
        <w:t>Abd</w:t>
      </w:r>
      <w:proofErr w:type="spellEnd"/>
      <w:r>
        <w:rPr>
          <w:rFonts w:ascii="AdvGulliv-R" w:hAnsi="AdvGulliv-R" w:cs="AdvGulliv-R"/>
          <w:color w:val="000000"/>
          <w:sz w:val="21"/>
          <w:szCs w:val="21"/>
        </w:rPr>
        <w:t xml:space="preserve"> El </w:t>
      </w:r>
      <w:proofErr w:type="spellStart"/>
      <w:r>
        <w:rPr>
          <w:rFonts w:ascii="AdvGulliv-R" w:hAnsi="AdvGulliv-R" w:cs="AdvGulliv-R"/>
          <w:color w:val="000000"/>
          <w:sz w:val="21"/>
          <w:szCs w:val="21"/>
        </w:rPr>
        <w:t>Aal</w:t>
      </w:r>
      <w:proofErr w:type="spellEnd"/>
      <w:r>
        <w:rPr>
          <w:rFonts w:ascii="AdvGulliv-R" w:hAnsi="AdvGulliv-R" w:cs="AdvGulliv-R"/>
          <w:color w:val="000000"/>
          <w:sz w:val="21"/>
          <w:szCs w:val="21"/>
        </w:rPr>
        <w:t xml:space="preserve"> </w:t>
      </w:r>
      <w:r>
        <w:rPr>
          <w:rFonts w:ascii="AdvGulliv-R" w:hAnsi="AdvGulliv-R" w:cs="AdvGulliv-R"/>
          <w:color w:val="0080AE"/>
          <w:sz w:val="14"/>
          <w:szCs w:val="14"/>
        </w:rPr>
        <w:t>b</w:t>
      </w:r>
      <w:r>
        <w:rPr>
          <w:rFonts w:ascii="AdvGulliv-R" w:hAnsi="AdvGulliv-R" w:cs="AdvGulliv-R"/>
          <w:color w:val="000000"/>
          <w:sz w:val="21"/>
          <w:szCs w:val="21"/>
        </w:rPr>
        <w:t>,</w:t>
      </w:r>
    </w:p>
    <w:p w:rsidR="003D17B8" w:rsidRDefault="003D17B8" w:rsidP="003D17B8">
      <w:pPr>
        <w:autoSpaceDE w:val="0"/>
        <w:autoSpaceDN w:val="0"/>
        <w:adjustRightInd w:val="0"/>
        <w:spacing w:after="0" w:line="240" w:lineRule="auto"/>
        <w:rPr>
          <w:rFonts w:ascii="AdvGulliv-R" w:hAnsi="AdvGulliv-R" w:cs="AdvGulliv-R"/>
          <w:color w:val="0080AE"/>
          <w:sz w:val="14"/>
          <w:szCs w:val="14"/>
        </w:rPr>
      </w:pPr>
      <w:r>
        <w:rPr>
          <w:rFonts w:ascii="AdvGulliv-R" w:hAnsi="AdvGulliv-R" w:cs="AdvGulliv-R"/>
          <w:color w:val="000000"/>
          <w:sz w:val="21"/>
          <w:szCs w:val="21"/>
        </w:rPr>
        <w:t xml:space="preserve">Toshiyuki </w:t>
      </w:r>
      <w:proofErr w:type="spellStart"/>
      <w:r>
        <w:rPr>
          <w:rFonts w:ascii="AdvGulliv-R" w:hAnsi="AdvGulliv-R" w:cs="AdvGulliv-R"/>
          <w:color w:val="000000"/>
          <w:sz w:val="21"/>
          <w:szCs w:val="21"/>
        </w:rPr>
        <w:t>Fukao</w:t>
      </w:r>
      <w:proofErr w:type="spellEnd"/>
      <w:r>
        <w:rPr>
          <w:rFonts w:ascii="AdvGulliv-R" w:hAnsi="AdvGulliv-R" w:cs="AdvGulliv-R"/>
          <w:color w:val="000000"/>
          <w:sz w:val="21"/>
          <w:szCs w:val="21"/>
        </w:rPr>
        <w:t xml:space="preserve"> </w:t>
      </w:r>
      <w:r>
        <w:rPr>
          <w:rFonts w:ascii="AdvGulliv-R" w:hAnsi="AdvGulliv-R" w:cs="AdvGulliv-R"/>
          <w:color w:val="0080AE"/>
          <w:sz w:val="14"/>
          <w:szCs w:val="14"/>
        </w:rPr>
        <w:t>a</w:t>
      </w:r>
    </w:p>
    <w:p w:rsidR="003D17B8" w:rsidRDefault="003D17B8" w:rsidP="003D17B8">
      <w:pPr>
        <w:autoSpaceDE w:val="0"/>
        <w:autoSpaceDN w:val="0"/>
        <w:adjustRightInd w:val="0"/>
        <w:spacing w:after="0" w:line="240" w:lineRule="auto"/>
        <w:rPr>
          <w:rFonts w:ascii="AdvGulliv-I" w:hAnsi="AdvGulliv-I" w:cs="AdvGulliv-I"/>
          <w:color w:val="000000"/>
          <w:sz w:val="13"/>
          <w:szCs w:val="13"/>
        </w:rPr>
      </w:pPr>
      <w:r>
        <w:rPr>
          <w:rFonts w:ascii="AdvGulliv-R" w:hAnsi="AdvGulliv-R" w:cs="AdvGulliv-R"/>
          <w:color w:val="000000"/>
          <w:sz w:val="9"/>
          <w:szCs w:val="9"/>
        </w:rPr>
        <w:t xml:space="preserve">a </w:t>
      </w:r>
      <w:r>
        <w:rPr>
          <w:rFonts w:ascii="AdvGulliv-I" w:hAnsi="AdvGulliv-I" w:cs="AdvGulliv-I"/>
          <w:color w:val="000000"/>
          <w:sz w:val="13"/>
          <w:szCs w:val="13"/>
        </w:rPr>
        <w:t>Department of Pediatrics, Graduate School of Medicine, Gifu University, Gifu, Japan</w:t>
      </w:r>
    </w:p>
    <w:p w:rsidR="003D17B8" w:rsidRDefault="003D17B8" w:rsidP="003D17B8">
      <w:pPr>
        <w:autoSpaceDE w:val="0"/>
        <w:autoSpaceDN w:val="0"/>
        <w:adjustRightInd w:val="0"/>
        <w:spacing w:after="0" w:line="240" w:lineRule="auto"/>
        <w:rPr>
          <w:rFonts w:ascii="AdvGulliv-I" w:hAnsi="AdvGulliv-I" w:cs="AdvGulliv-I"/>
          <w:color w:val="000000"/>
          <w:sz w:val="13"/>
          <w:szCs w:val="13"/>
        </w:rPr>
      </w:pPr>
      <w:proofErr w:type="gramStart"/>
      <w:r>
        <w:rPr>
          <w:rFonts w:ascii="AdvGulliv-R" w:hAnsi="AdvGulliv-R" w:cs="AdvGulliv-R"/>
          <w:color w:val="000000"/>
          <w:sz w:val="9"/>
          <w:szCs w:val="9"/>
        </w:rPr>
        <w:t>b</w:t>
      </w:r>
      <w:proofErr w:type="gramEnd"/>
      <w:r>
        <w:rPr>
          <w:rFonts w:ascii="AdvGulliv-R" w:hAnsi="AdvGulliv-R" w:cs="AdvGulliv-R"/>
          <w:color w:val="000000"/>
          <w:sz w:val="9"/>
          <w:szCs w:val="9"/>
        </w:rPr>
        <w:t xml:space="preserve"> </w:t>
      </w:r>
      <w:r>
        <w:rPr>
          <w:rFonts w:ascii="AdvGulliv-I" w:hAnsi="AdvGulliv-I" w:cs="AdvGulliv-I"/>
          <w:color w:val="000000"/>
          <w:sz w:val="13"/>
          <w:szCs w:val="13"/>
        </w:rPr>
        <w:t>Department of Pediatrics, Faculty of Medicine, Sohag University, Sohag, Egypt</w:t>
      </w:r>
    </w:p>
    <w:p w:rsidR="003D17B8" w:rsidRDefault="003D17B8" w:rsidP="003D17B8">
      <w:pPr>
        <w:autoSpaceDE w:val="0"/>
        <w:autoSpaceDN w:val="0"/>
        <w:adjustRightInd w:val="0"/>
        <w:spacing w:after="0" w:line="240" w:lineRule="auto"/>
        <w:rPr>
          <w:rFonts w:ascii="AdvGulliv-I" w:hAnsi="AdvGulliv-I" w:cs="AdvGulliv-I"/>
          <w:color w:val="000000"/>
          <w:sz w:val="13"/>
          <w:szCs w:val="13"/>
        </w:rPr>
      </w:pPr>
      <w:proofErr w:type="gramStart"/>
      <w:r>
        <w:rPr>
          <w:rFonts w:ascii="AdvGulliv-R" w:hAnsi="AdvGulliv-R" w:cs="AdvGulliv-R"/>
          <w:color w:val="000000"/>
          <w:sz w:val="9"/>
          <w:szCs w:val="9"/>
        </w:rPr>
        <w:t>c</w:t>
      </w:r>
      <w:proofErr w:type="gramEnd"/>
      <w:r>
        <w:rPr>
          <w:rFonts w:ascii="AdvGulliv-R" w:hAnsi="AdvGulliv-R" w:cs="AdvGulliv-R"/>
          <w:color w:val="000000"/>
          <w:sz w:val="9"/>
          <w:szCs w:val="9"/>
        </w:rPr>
        <w:t xml:space="preserve"> </w:t>
      </w:r>
      <w:r w:rsidRPr="00B40D4C">
        <w:rPr>
          <w:rFonts w:ascii="AdvGulliv-I" w:hAnsi="AdvGulliv-I" w:cs="AdvGulliv-I"/>
          <w:b/>
          <w:bCs/>
          <w:color w:val="000000"/>
          <w:sz w:val="13"/>
          <w:szCs w:val="13"/>
          <w:u w:val="single"/>
        </w:rPr>
        <w:t>Department of Pediatrics, Faculty of Medicine, Tripoli University, Tripoli, Libya</w:t>
      </w:r>
    </w:p>
    <w:p w:rsidR="003D17B8" w:rsidRPr="00282B91" w:rsidRDefault="003D17B8" w:rsidP="003D17B8">
      <w:pPr>
        <w:autoSpaceDE w:val="0"/>
        <w:autoSpaceDN w:val="0"/>
        <w:adjustRightInd w:val="0"/>
        <w:spacing w:after="0"/>
        <w:rPr>
          <w:rFonts w:ascii="AdvGulliv-F" w:hAnsi="AdvGulliv-F" w:cs="AdvGulliv-F"/>
          <w:b/>
          <w:bCs/>
          <w:sz w:val="24"/>
          <w:szCs w:val="24"/>
        </w:rPr>
      </w:pPr>
      <w:proofErr w:type="gramStart"/>
      <w:r>
        <w:rPr>
          <w:rFonts w:ascii="AdvGulliv-R" w:hAnsi="AdvGulliv-R" w:cs="AdvGulliv-R"/>
          <w:color w:val="000000"/>
          <w:sz w:val="9"/>
          <w:szCs w:val="9"/>
        </w:rPr>
        <w:t>d</w:t>
      </w:r>
      <w:proofErr w:type="gramEnd"/>
      <w:r>
        <w:rPr>
          <w:rFonts w:ascii="AdvGulliv-R" w:hAnsi="AdvGulliv-R" w:cs="AdvGulliv-R"/>
          <w:color w:val="000000"/>
          <w:sz w:val="9"/>
          <w:szCs w:val="9"/>
        </w:rPr>
        <w:t xml:space="preserve"> </w:t>
      </w:r>
      <w:r>
        <w:rPr>
          <w:rFonts w:ascii="AdvGulliv-I" w:hAnsi="AdvGulliv-I" w:cs="AdvGulliv-I"/>
          <w:color w:val="000000"/>
          <w:sz w:val="13"/>
          <w:szCs w:val="13"/>
        </w:rPr>
        <w:t>Education and Training Center of Medical Technology, Chubu University, Aichi, Japan</w:t>
      </w:r>
    </w:p>
    <w:p w:rsidR="00282B91" w:rsidRDefault="00282B91" w:rsidP="00282B91">
      <w:pPr>
        <w:autoSpaceDE w:val="0"/>
        <w:autoSpaceDN w:val="0"/>
        <w:adjustRightInd w:val="0"/>
        <w:spacing w:after="0"/>
        <w:rPr>
          <w:rFonts w:ascii="AdvGulliv-F" w:hAnsi="AdvGulliv-F" w:cs="AdvGulliv-F"/>
          <w:sz w:val="18"/>
          <w:szCs w:val="18"/>
        </w:rPr>
      </w:pPr>
    </w:p>
    <w:p w:rsidR="00282B91" w:rsidRPr="00282B91" w:rsidRDefault="00C82250" w:rsidP="00282B91">
      <w:pPr>
        <w:autoSpaceDE w:val="0"/>
        <w:autoSpaceDN w:val="0"/>
        <w:adjustRightInd w:val="0"/>
        <w:spacing w:after="0"/>
        <w:rPr>
          <w:rFonts w:ascii="AdvGulliv-F" w:hAnsi="AdvGulliv-F" w:cs="AdvGulliv-F"/>
          <w:b/>
          <w:bCs/>
        </w:rPr>
      </w:pPr>
      <w:r w:rsidRPr="00282B91">
        <w:rPr>
          <w:rFonts w:ascii="AdvGulliv-F" w:hAnsi="AdvGulliv-F" w:cs="AdvGulliv-F"/>
          <w:b/>
          <w:bCs/>
        </w:rPr>
        <w:t>A</w:t>
      </w:r>
      <w:r w:rsidR="001E7EE6">
        <w:rPr>
          <w:rFonts w:ascii="AdvGulliv-F" w:hAnsi="AdvGulliv-F" w:cs="AdvGulliv-F"/>
          <w:b/>
          <w:bCs/>
        </w:rPr>
        <w:t xml:space="preserve"> </w:t>
      </w:r>
      <w:r w:rsidR="00282B91" w:rsidRPr="00282B91">
        <w:rPr>
          <w:rFonts w:ascii="AdvGulliv-F" w:hAnsi="AdvGulliv-F" w:cs="AdvGulliv-F"/>
          <w:b/>
          <w:bCs/>
        </w:rPr>
        <w:t>b s t r a c t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r w:rsidRPr="00282B91">
        <w:rPr>
          <w:rFonts w:ascii="AdvGulliv-R" w:hAnsi="AdvGulliv-R" w:cs="AdvGulliv-R"/>
          <w:sz w:val="20"/>
          <w:szCs w:val="20"/>
        </w:rPr>
        <w:t>Beta-ketothiolase (mitochondrial acetoacetyl-CoA thiolase, T2) deficiency is an autosomal recessive disorder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characterized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by impaired metabolism of ketones and isoleucine. In this study, we report on the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first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two siblings with T2 deficiency from Libya. Both siblings presented with ketoacidosis, but the severity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and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outcomes were quite distinctive. T2 deficiency in patient </w:t>
      </w:r>
      <w:proofErr w:type="gramStart"/>
      <w:r w:rsidRPr="00282B91">
        <w:rPr>
          <w:rFonts w:ascii="AdvGulliv-R" w:hAnsi="AdvGulliv-R" w:cs="AdvGulliv-R"/>
          <w:sz w:val="20"/>
          <w:szCs w:val="20"/>
        </w:rPr>
        <w:t>1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>, the younger sister, manifested as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recurrent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severe episodes of ketoacidosis during the first year of life. She unfortunately experienced </w:t>
      </w:r>
      <w:proofErr w:type="spellStart"/>
      <w:r w:rsidRPr="00282B91">
        <w:rPr>
          <w:rFonts w:ascii="AdvGulliv-R" w:hAnsi="AdvGulliv-R" w:cs="AdvGulliv-R"/>
          <w:sz w:val="20"/>
          <w:szCs w:val="20"/>
        </w:rPr>
        <w:t>neurodevelopmental</w:t>
      </w:r>
      <w:proofErr w:type="spellEnd"/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complications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>, and died at 14 months old, after her 5th episode. In contrast, patient 2,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the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elder brother, experienced only one ketoacidotic episode at the age of 4 years. He recovered uneventfully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and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has continued to achieve age-appropriate development to date. Upon analysis, the siblings’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blood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acylcarnitine profiles had shown increased levels of C5:1 and C5-OH carnitine. </w:t>
      </w:r>
      <w:r w:rsidRPr="00282B91">
        <w:rPr>
          <w:rFonts w:ascii="AdvGulliv-I" w:hAnsi="AdvGulliv-I" w:cs="AdvGulliv-I"/>
          <w:sz w:val="20"/>
          <w:szCs w:val="20"/>
        </w:rPr>
        <w:t xml:space="preserve">ACAT1 </w:t>
      </w:r>
      <w:r w:rsidRPr="00282B91">
        <w:rPr>
          <w:rFonts w:ascii="AdvGulliv-R" w:hAnsi="AdvGulliv-R" w:cs="AdvGulliv-R"/>
          <w:sz w:val="20"/>
          <w:szCs w:val="20"/>
        </w:rPr>
        <w:t>mutational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analysis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revealed patient 2 is homozygotic for a novel mutation–c.674C &gt; A (p.Ala225Glu); this mutation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was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then confirmed by familial analysis. Transient expression analysis of c.674C &gt; A mutant T2 cDNA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revealed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neither potassium ion-activated acetoacetyl-CoA thiolase activity, which represents T2 activity,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nor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mutant T2 protein. Therefore, this mutation is truly pathogenic. Interestingly, the incidence of T2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deficiency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may be high among the Arab population. This disease </w:t>
      </w:r>
      <w:proofErr w:type="gramStart"/>
      <w:r w:rsidRPr="00282B91">
        <w:rPr>
          <w:rFonts w:ascii="AdvGulliv-R" w:hAnsi="AdvGulliv-R" w:cs="AdvGulliv-R"/>
          <w:sz w:val="20"/>
          <w:szCs w:val="20"/>
        </w:rPr>
        <w:t>should be considered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in the differential</w:t>
      </w:r>
    </w:p>
    <w:p w:rsidR="00282B91" w:rsidRPr="00282B91" w:rsidRDefault="00282B91" w:rsidP="00282B91">
      <w:pPr>
        <w:autoSpaceDE w:val="0"/>
        <w:autoSpaceDN w:val="0"/>
        <w:adjustRightInd w:val="0"/>
        <w:spacing w:after="0"/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diagnosis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for unexplained ketoacidosis in children. Patients with T2 deficiency could have a favorable</w:t>
      </w:r>
    </w:p>
    <w:p w:rsidR="009E7328" w:rsidRPr="00282B91" w:rsidRDefault="00282B91" w:rsidP="00282B91">
      <w:pPr>
        <w:jc w:val="both"/>
        <w:rPr>
          <w:rFonts w:ascii="AdvGulliv-R" w:hAnsi="AdvGulliv-R" w:cs="AdvGulliv-R"/>
          <w:sz w:val="20"/>
          <w:szCs w:val="20"/>
        </w:rPr>
      </w:pPr>
      <w:proofErr w:type="gramStart"/>
      <w:r w:rsidRPr="00282B91">
        <w:rPr>
          <w:rFonts w:ascii="AdvGulliv-R" w:hAnsi="AdvGulliv-R" w:cs="AdvGulliv-R"/>
          <w:sz w:val="20"/>
          <w:szCs w:val="20"/>
        </w:rPr>
        <w:t>outcome</w:t>
      </w:r>
      <w:proofErr w:type="gramEnd"/>
      <w:r w:rsidRPr="00282B91">
        <w:rPr>
          <w:rFonts w:ascii="AdvGulliv-R" w:hAnsi="AdvGulliv-R" w:cs="AdvGulliv-R"/>
          <w:sz w:val="20"/>
          <w:szCs w:val="20"/>
        </w:rPr>
        <w:t xml:space="preserve"> if diagnosed and treated early.</w:t>
      </w:r>
    </w:p>
    <w:p w:rsidR="00282B91" w:rsidRPr="00282B91" w:rsidRDefault="00282B91" w:rsidP="00282B91">
      <w:pPr>
        <w:rPr>
          <w:b/>
          <w:bCs/>
          <w:sz w:val="20"/>
          <w:szCs w:val="20"/>
        </w:rPr>
      </w:pPr>
      <w:r w:rsidRPr="00282B91">
        <w:rPr>
          <w:rFonts w:ascii="AdvGulliv-R" w:hAnsi="AdvGulliv-R" w:cs="AdvGulliv-R"/>
          <w:b/>
          <w:bCs/>
          <w:sz w:val="20"/>
          <w:szCs w:val="20"/>
        </w:rPr>
        <w:t>Egypt J Med Hum Genet 2017</w:t>
      </w:r>
    </w:p>
    <w:sectPr w:rsidR="00282B91" w:rsidRPr="00282B91" w:rsidSect="009E732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Gulliv-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Gulliv-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Gulliv-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proofState w:spelling="clean" w:grammar="clean"/>
  <w:defaultTabStop w:val="720"/>
  <w:characterSpacingControl w:val="doNotCompress"/>
  <w:savePreviewPicture/>
  <w:compat/>
  <w:rsids>
    <w:rsidRoot w:val="00282B91"/>
    <w:rsid w:val="001603CF"/>
    <w:rsid w:val="001E7EE6"/>
    <w:rsid w:val="00282B91"/>
    <w:rsid w:val="002A2BBF"/>
    <w:rsid w:val="002E491E"/>
    <w:rsid w:val="003D17B8"/>
    <w:rsid w:val="004517F6"/>
    <w:rsid w:val="009E7328"/>
    <w:rsid w:val="00B40D4C"/>
    <w:rsid w:val="00C82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dcterms:created xsi:type="dcterms:W3CDTF">2017-06-06T07:20:00Z</dcterms:created>
  <dcterms:modified xsi:type="dcterms:W3CDTF">2017-09-14T21:47:00Z</dcterms:modified>
</cp:coreProperties>
</file>