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73" w:rsidRDefault="003A4073" w:rsidP="007A1D79">
      <w:pPr>
        <w:bidi w:val="0"/>
        <w:jc w:val="center"/>
        <w:rPr>
          <w:rFonts w:ascii="TimesNewRomanBold" w:hAnsi="TimesNewRomanBold"/>
          <w:color w:val="131413"/>
        </w:rPr>
      </w:pPr>
      <w:bookmarkStart w:id="0" w:name="_GoBack"/>
      <w:bookmarkEnd w:id="0"/>
      <w:r>
        <w:rPr>
          <w:rFonts w:ascii="TimesNewRomanBold" w:hAnsi="TimesNewRomanBold"/>
          <w:b/>
          <w:bCs/>
          <w:color w:val="131413"/>
          <w:sz w:val="32"/>
          <w:szCs w:val="32"/>
        </w:rPr>
        <w:t xml:space="preserve">Glycogen storage disease type </w:t>
      </w:r>
      <w:proofErr w:type="spellStart"/>
      <w:r>
        <w:rPr>
          <w:rFonts w:ascii="TimesNewRomanBold" w:hAnsi="TimesNewRomanBold"/>
          <w:b/>
          <w:bCs/>
          <w:color w:val="131413"/>
          <w:sz w:val="32"/>
          <w:szCs w:val="32"/>
        </w:rPr>
        <w:t>Ia</w:t>
      </w:r>
      <w:proofErr w:type="spellEnd"/>
      <w:r>
        <w:rPr>
          <w:rFonts w:ascii="TimesNewRomanBold" w:hAnsi="TimesNewRomanBold"/>
          <w:b/>
          <w:bCs/>
          <w:color w:val="131413"/>
          <w:sz w:val="32"/>
          <w:szCs w:val="32"/>
        </w:rPr>
        <w:t xml:space="preserve"> in Iranian Azeri</w:t>
      </w:r>
      <w:r>
        <w:rPr>
          <w:rFonts w:ascii="TimesNewRomanBold" w:hAnsi="TimesNewRomanBold"/>
          <w:color w:val="131413"/>
          <w:sz w:val="32"/>
          <w:szCs w:val="32"/>
        </w:rPr>
        <w:br/>
      </w:r>
      <w:r>
        <w:rPr>
          <w:rFonts w:ascii="TimesNewRomanBold" w:hAnsi="TimesNewRomanBold"/>
          <w:b/>
          <w:bCs/>
          <w:color w:val="131413"/>
          <w:sz w:val="32"/>
          <w:szCs w:val="32"/>
        </w:rPr>
        <w:t>Turks: identification of a novel mutation</w:t>
      </w:r>
      <w:r>
        <w:rPr>
          <w:rFonts w:ascii="TimesNewRomanBold" w:hAnsi="TimesNewRomanBold"/>
          <w:color w:val="131413"/>
          <w:sz w:val="32"/>
          <w:szCs w:val="32"/>
        </w:rPr>
        <w:br/>
      </w:r>
      <w:r>
        <w:rPr>
          <w:rFonts w:ascii="TimesNewRomanRegular" w:hAnsi="TimesNewRomanRegular"/>
          <w:color w:val="131413"/>
          <w:sz w:val="20"/>
          <w:szCs w:val="20"/>
        </w:rPr>
        <w:t>SHEKARI KHANIANI MAHMOUD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TimesNewRomanRegular" w:hAnsi="TimesNewRomanRegular"/>
          <w:color w:val="131413"/>
          <w:sz w:val="20"/>
          <w:szCs w:val="20"/>
        </w:rPr>
        <w:t>, AZIZ KHORRAMI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TimesNewRomanRegular" w:hAnsi="TimesNewRomanRegular"/>
          <w:color w:val="131413"/>
          <w:sz w:val="20"/>
          <w:szCs w:val="20"/>
        </w:rPr>
        <w:t>, MANDANA RAFEEY</w:t>
      </w:r>
      <w:r>
        <w:rPr>
          <w:rFonts w:ascii="TimesNewRomanRegular" w:hAnsi="TimesNewRomanRegular"/>
          <w:color w:val="131413"/>
          <w:sz w:val="14"/>
          <w:szCs w:val="14"/>
        </w:rPr>
        <w:t xml:space="preserve">1 </w:t>
      </w:r>
      <w:r>
        <w:rPr>
          <w:rFonts w:ascii="TimesNewRomanRegular" w:hAnsi="TimesNewRomanRegular"/>
          <w:color w:val="131413"/>
          <w:sz w:val="20"/>
          <w:szCs w:val="20"/>
        </w:rPr>
        <w:t>,</w:t>
      </w:r>
      <w:r>
        <w:rPr>
          <w:rFonts w:ascii="TimesNewRomanRegular" w:hAnsi="TimesNewRomanRegular"/>
          <w:color w:val="131413"/>
          <w:sz w:val="20"/>
          <w:szCs w:val="20"/>
        </w:rPr>
        <w:br/>
        <w:t>ROBABEH GHERGHEREHCHI</w:t>
      </w:r>
      <w:r>
        <w:rPr>
          <w:rFonts w:ascii="TimesNewRomanRegular" w:hAnsi="TimesNewRomanRegular"/>
          <w:color w:val="131413"/>
          <w:sz w:val="14"/>
          <w:szCs w:val="14"/>
        </w:rPr>
        <w:t xml:space="preserve">3 </w:t>
      </w:r>
      <w:r>
        <w:rPr>
          <w:rFonts w:ascii="TimesNewRomanRegular" w:hAnsi="TimesNewRomanRegular"/>
          <w:color w:val="131413"/>
          <w:sz w:val="20"/>
          <w:szCs w:val="20"/>
        </w:rPr>
        <w:t>and MANSOORI DERAKHSHAN SIMA</w:t>
      </w:r>
      <w:r>
        <w:rPr>
          <w:rFonts w:ascii="TimesNewRomanRegular" w:hAnsi="TimesNewRomanRegular"/>
          <w:color w:val="131413"/>
          <w:sz w:val="14"/>
          <w:szCs w:val="14"/>
        </w:rPr>
        <w:t>1,2</w:t>
      </w:r>
      <w:r>
        <w:rPr>
          <w:rFonts w:ascii="MTSYN" w:hAnsi="MTSYN"/>
          <w:color w:val="131413"/>
          <w:sz w:val="14"/>
          <w:szCs w:val="14"/>
        </w:rPr>
        <w:br/>
      </w:r>
      <w:r>
        <w:rPr>
          <w:rFonts w:ascii="TimesNewRomanRegular" w:hAnsi="TimesNewRomanRegular"/>
          <w:color w:val="131413"/>
          <w:sz w:val="14"/>
          <w:szCs w:val="14"/>
        </w:rPr>
        <w:t xml:space="preserve">1 </w:t>
      </w:r>
      <w:r>
        <w:rPr>
          <w:rFonts w:ascii="TimesNewRomanItalic" w:hAnsi="TimesNewRomanItalic"/>
          <w:color w:val="131413"/>
          <w:sz w:val="20"/>
          <w:szCs w:val="20"/>
        </w:rPr>
        <w:t xml:space="preserve">Liver and Gastrointestinal Disease Research Center, </w:t>
      </w:r>
      <w:r>
        <w:rPr>
          <w:rFonts w:ascii="TimesNewRomanRegular" w:hAnsi="TimesNewRomanRegular"/>
          <w:color w:val="131413"/>
          <w:sz w:val="14"/>
          <w:szCs w:val="14"/>
        </w:rPr>
        <w:t>2</w:t>
      </w:r>
      <w:r>
        <w:rPr>
          <w:rFonts w:ascii="TimesNewRomanItalic" w:hAnsi="TimesNewRomanItalic"/>
          <w:color w:val="131413"/>
          <w:sz w:val="20"/>
          <w:szCs w:val="20"/>
        </w:rPr>
        <w:t>Department of Medical Genetics, School of Medicine</w:t>
      </w:r>
      <w:r>
        <w:rPr>
          <w:rFonts w:ascii="TimesNewRomanItalic" w:hAnsi="TimesNewRomanItalic"/>
          <w:color w:val="131413"/>
          <w:sz w:val="20"/>
          <w:szCs w:val="20"/>
        </w:rPr>
        <w:br/>
        <w:t xml:space="preserve">and </w:t>
      </w:r>
      <w:r>
        <w:rPr>
          <w:rFonts w:ascii="TimesNewRomanRegular" w:hAnsi="TimesNewRomanRegular"/>
          <w:color w:val="131413"/>
          <w:sz w:val="14"/>
          <w:szCs w:val="14"/>
        </w:rPr>
        <w:t>3</w:t>
      </w:r>
      <w:r>
        <w:rPr>
          <w:rFonts w:ascii="TimesNewRomanItalic" w:hAnsi="TimesNewRomanItalic"/>
          <w:color w:val="131413"/>
          <w:sz w:val="20"/>
          <w:szCs w:val="20"/>
        </w:rPr>
        <w:t xml:space="preserve">Department of Pediatric, Tabriz University of Medical Sciences, </w:t>
      </w:r>
      <w:proofErr w:type="spellStart"/>
      <w:r>
        <w:rPr>
          <w:rFonts w:ascii="TimesNewRomanItalic" w:hAnsi="TimesNewRomanItalic"/>
          <w:color w:val="131413"/>
          <w:sz w:val="20"/>
          <w:szCs w:val="20"/>
        </w:rPr>
        <w:t>Tabriz.Iran</w:t>
      </w:r>
      <w:proofErr w:type="spellEnd"/>
      <w:r>
        <w:rPr>
          <w:rFonts w:ascii="TimesNewRomanItalic" w:hAnsi="TimesNewRomanItalic"/>
          <w:color w:val="131413"/>
          <w:sz w:val="20"/>
          <w:szCs w:val="20"/>
        </w:rPr>
        <w:br/>
      </w:r>
      <w:r>
        <w:rPr>
          <w:rFonts w:ascii="TimesNewRomanBold" w:hAnsi="TimesNewRomanBold"/>
          <w:b/>
          <w:bCs/>
          <w:color w:val="131413"/>
        </w:rPr>
        <w:t>Abstract</w:t>
      </w:r>
    </w:p>
    <w:p w:rsidR="003A4073" w:rsidRPr="004047C7" w:rsidRDefault="003A4073" w:rsidP="003A4073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TimesNewRomanBold" w:hAnsi="TimesNewRomanBold"/>
          <w:color w:val="131413"/>
        </w:rPr>
        <w:br/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Glycogen storage diseases (GSDs) are caused by abnormalities in enzymes that are involved in the regulation of gluconeogenesis and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glycogenolysis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. GSD I, an autosomal recessive metabolic disorder, is the most common GSD and has four subtypes. Here, we examined GSD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caused by the defective glucose-6-phosphatase catalytic (G6PC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) gene. We investigated the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frequency of GSD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and clarified its molecular aspect in patients with the main clinical and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biochemical characteristics of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GSD, including 37 unrelated patients with a mean age of three years at the time of diagnosi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s. All patients belonged to the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Azeri Turkish population.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Hypoglycaemia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and </w:t>
      </w:r>
      <w:proofErr w:type="spellStart"/>
      <w:r w:rsidRPr="004047C7">
        <w:rPr>
          <w:rFonts w:asciiTheme="majorBidi" w:hAnsiTheme="majorBidi" w:cstheme="majorBidi"/>
          <w:color w:val="131413"/>
          <w:sz w:val="28"/>
          <w:szCs w:val="28"/>
        </w:rPr>
        <w:t>hypertriglyceridaemia</w:t>
      </w:r>
      <w:proofErr w:type="spellEnd"/>
      <w:r w:rsidRPr="004047C7">
        <w:rPr>
          <w:rFonts w:asciiTheme="majorBidi" w:hAnsiTheme="majorBidi" w:cstheme="majorBidi"/>
          <w:color w:val="131413"/>
          <w:sz w:val="28"/>
          <w:szCs w:val="28"/>
        </w:rPr>
        <w:t xml:space="preserve"> were the most frequent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laboratory findings. Mutations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were detected by performing direct sequencing. Mutation analysis of the G6PC gene reveale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d that GSD </w:t>
      </w:r>
      <w:proofErr w:type="spellStart"/>
      <w:r>
        <w:rPr>
          <w:rFonts w:asciiTheme="majorBidi" w:hAnsiTheme="majorBidi" w:cstheme="majorBidi"/>
          <w:color w:val="131413"/>
          <w:sz w:val="28"/>
          <w:szCs w:val="28"/>
        </w:rPr>
        <w:t>Ia</w:t>
      </w:r>
      <w:proofErr w:type="spellEnd"/>
      <w:r>
        <w:rPr>
          <w:rFonts w:asciiTheme="majorBidi" w:hAnsiTheme="majorBidi" w:cstheme="majorBidi"/>
          <w:color w:val="131413"/>
          <w:sz w:val="28"/>
          <w:szCs w:val="28"/>
        </w:rPr>
        <w:t xml:space="preserve"> accounted for 11%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in GSD patients with involvement of liver. Three patients were homozygous for R83C muta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tion. In addition, a novel stop </w:t>
      </w:r>
      <w:r w:rsidRPr="004047C7">
        <w:rPr>
          <w:rFonts w:asciiTheme="majorBidi" w:hAnsiTheme="majorBidi" w:cstheme="majorBidi"/>
          <w:color w:val="131413"/>
          <w:sz w:val="28"/>
          <w:szCs w:val="28"/>
        </w:rPr>
        <w:t>mutation, Y85X, was identified in a patient with the typical features of GSD Ia.</w:t>
      </w:r>
    </w:p>
    <w:p w:rsidR="00891188" w:rsidRDefault="00891188"/>
    <w:sectPr w:rsidR="00891188" w:rsidSect="00F61AC4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Bold">
    <w:altName w:val="Times New Roman"/>
    <w:panose1 w:val="00000000000000000000"/>
    <w:charset w:val="00"/>
    <w:family w:val="roman"/>
    <w:notTrueType/>
    <w:pitch w:val="default"/>
  </w:font>
  <w:font w:name="TimesNewRomanRegular">
    <w:altName w:val="Times New Roman"/>
    <w:panose1 w:val="00000000000000000000"/>
    <w:charset w:val="00"/>
    <w:family w:val="roman"/>
    <w:notTrueType/>
    <w:pitch w:val="default"/>
  </w:font>
  <w:font w:name="MTSYN">
    <w:altName w:val="Times New Roman"/>
    <w:panose1 w:val="00000000000000000000"/>
    <w:charset w:val="00"/>
    <w:family w:val="roman"/>
    <w:notTrueType/>
    <w:pitch w:val="default"/>
  </w:font>
  <w:font w:name="TimesNewRoman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073"/>
    <w:rsid w:val="002066D1"/>
    <w:rsid w:val="003A4073"/>
    <w:rsid w:val="007A1D79"/>
    <w:rsid w:val="00891188"/>
    <w:rsid w:val="00F6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BEA160-1BE6-42C8-8A07-6361A4F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0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mohadesLab</cp:lastModifiedBy>
  <cp:revision>2</cp:revision>
  <dcterms:created xsi:type="dcterms:W3CDTF">2017-09-21T05:14:00Z</dcterms:created>
  <dcterms:modified xsi:type="dcterms:W3CDTF">2017-09-21T05:14:00Z</dcterms:modified>
</cp:coreProperties>
</file>