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074" w:rsidRPr="00877F81" w:rsidRDefault="00877F81" w:rsidP="00877F81">
      <w:pPr>
        <w:pStyle w:val="NormalWeb"/>
        <w:spacing w:line="276" w:lineRule="auto"/>
        <w:jc w:val="center"/>
        <w:rPr>
          <w:rFonts w:ascii="CapitoliumNews-Regular" w:hAnsi="CapitoliumNews-Regular" w:cs="B Lotus"/>
          <w:color w:val="231F20"/>
          <w:sz w:val="28"/>
          <w:szCs w:val="28"/>
        </w:rPr>
      </w:pPr>
      <w:r w:rsidRPr="00877F81">
        <w:rPr>
          <w:rFonts w:ascii="CapitoliumNews-Regular" w:hAnsi="CapitoliumNews-Regular"/>
          <w:color w:val="231F20"/>
          <w:sz w:val="32"/>
          <w:szCs w:val="32"/>
        </w:rPr>
        <w:t xml:space="preserve">Association of TNF-α Gene Variants With Clinical Manifestation of </w:t>
      </w:r>
      <w:r w:rsidRPr="00877F81">
        <w:rPr>
          <w:rFonts w:ascii="CapitoliumNews-Regular" w:hAnsi="CapitoliumNews-Regular" w:cs="B Lotus"/>
          <w:i/>
          <w:iCs/>
          <w:color w:val="231F20"/>
          <w:sz w:val="28"/>
          <w:szCs w:val="28"/>
        </w:rPr>
        <w:t xml:space="preserve">   CFTR</w:t>
      </w:r>
      <w:r w:rsidRPr="00877F81">
        <w:rPr>
          <w:rFonts w:ascii="CapitoliumNews-Regular" w:hAnsi="CapitoliumNews-Regular" w:cs="B Lotus"/>
          <w:color w:val="231F20"/>
          <w:sz w:val="28"/>
          <w:szCs w:val="28"/>
        </w:rPr>
        <w:t xml:space="preserve"> mutation carriers</w:t>
      </w:r>
      <w:r w:rsidRPr="00877F81">
        <w:rPr>
          <w:rFonts w:ascii="CapitoliumNews-Regular" w:hAnsi="CapitoliumNews-Regular"/>
          <w:color w:val="231F20"/>
          <w:sz w:val="32"/>
          <w:szCs w:val="32"/>
        </w:rPr>
        <w:br/>
      </w:r>
      <w:r w:rsidRPr="00877F81">
        <w:rPr>
          <w:rFonts w:ascii="CapitoliumNews-Regular" w:hAnsi="CapitoliumNews-Regular"/>
          <w:color w:val="231F20"/>
        </w:rPr>
        <w:t xml:space="preserve">Aziz </w:t>
      </w:r>
      <w:proofErr w:type="spellStart"/>
      <w:r w:rsidRPr="00877F81">
        <w:rPr>
          <w:rFonts w:ascii="CapitoliumNews-Regular" w:hAnsi="CapitoliumNews-Regular"/>
          <w:color w:val="231F20"/>
        </w:rPr>
        <w:t>Khorrami</w:t>
      </w:r>
      <w:proofErr w:type="spellEnd"/>
      <w:r w:rsidRPr="00877F81">
        <w:rPr>
          <w:rFonts w:ascii="CapitoliumNews-Regular" w:hAnsi="CapitoliumNews-Regular"/>
          <w:color w:val="231F20"/>
        </w:rPr>
        <w:t xml:space="preserve"> </w:t>
      </w:r>
      <w:r w:rsidRPr="00877F81">
        <w:rPr>
          <w:rFonts w:ascii="CapitoliumNews-Regular" w:hAnsi="CapitoliumNews-Regular"/>
          <w:color w:val="231F20"/>
          <w:sz w:val="14"/>
          <w:szCs w:val="14"/>
        </w:rPr>
        <w:t>1,*</w:t>
      </w:r>
      <w:r w:rsidRPr="00877F81">
        <w:rPr>
          <w:rFonts w:ascii="CapitoliumNews-Regular" w:hAnsi="CapitoliumNews-Regular"/>
          <w:color w:val="231F20"/>
        </w:rPr>
        <w:t xml:space="preserve">; </w:t>
      </w:r>
      <w:proofErr w:type="spellStart"/>
      <w:r w:rsidRPr="00877F81">
        <w:rPr>
          <w:rFonts w:ascii="CapitoliumNews-Regular" w:hAnsi="CapitoliumNews-Regular"/>
          <w:color w:val="231F20"/>
        </w:rPr>
        <w:t>Mortaza</w:t>
      </w:r>
      <w:proofErr w:type="spellEnd"/>
      <w:r w:rsidRPr="00877F81">
        <w:rPr>
          <w:rFonts w:ascii="CapitoliumNews-Regular" w:hAnsi="CapitoliumNews-Regular"/>
          <w:color w:val="231F20"/>
        </w:rPr>
        <w:t xml:space="preserve"> </w:t>
      </w:r>
      <w:proofErr w:type="spellStart"/>
      <w:r w:rsidRPr="00877F81">
        <w:rPr>
          <w:rFonts w:ascii="CapitoliumNews-Regular" w:hAnsi="CapitoliumNews-Regular"/>
          <w:color w:val="231F20"/>
        </w:rPr>
        <w:t>Bonyadi</w:t>
      </w:r>
      <w:proofErr w:type="spellEnd"/>
      <w:r w:rsidRPr="00877F81">
        <w:rPr>
          <w:rFonts w:ascii="CapitoliumNews-Regular" w:hAnsi="CapitoliumNews-Regular"/>
          <w:color w:val="231F20"/>
        </w:rPr>
        <w:t xml:space="preserve"> </w:t>
      </w:r>
      <w:r w:rsidRPr="00877F81">
        <w:rPr>
          <w:rFonts w:ascii="CapitoliumNews-Regular" w:hAnsi="CapitoliumNews-Regular"/>
          <w:color w:val="231F20"/>
          <w:sz w:val="14"/>
          <w:szCs w:val="14"/>
        </w:rPr>
        <w:t>1</w:t>
      </w:r>
      <w:r w:rsidRPr="00877F81">
        <w:rPr>
          <w:rFonts w:ascii="CapitoliumNews-Regular" w:hAnsi="CapitoliumNews-Regular"/>
          <w:color w:val="231F20"/>
        </w:rPr>
        <w:t xml:space="preserve">; </w:t>
      </w:r>
      <w:proofErr w:type="spellStart"/>
      <w:r w:rsidRPr="00877F81">
        <w:rPr>
          <w:rFonts w:ascii="CapitoliumNews-Regular" w:hAnsi="CapitoliumNews-Regular"/>
          <w:color w:val="231F20"/>
        </w:rPr>
        <w:t>Mandana</w:t>
      </w:r>
      <w:proofErr w:type="spellEnd"/>
      <w:r w:rsidRPr="00877F81">
        <w:rPr>
          <w:rFonts w:ascii="CapitoliumNews-Regular" w:hAnsi="CapitoliumNews-Regular"/>
          <w:color w:val="231F20"/>
        </w:rPr>
        <w:t xml:space="preserve"> </w:t>
      </w:r>
      <w:proofErr w:type="spellStart"/>
      <w:r w:rsidRPr="00877F81">
        <w:rPr>
          <w:rFonts w:ascii="CapitoliumNews-Regular" w:hAnsi="CapitoliumNews-Regular"/>
          <w:color w:val="231F20"/>
        </w:rPr>
        <w:t>Rafeey</w:t>
      </w:r>
      <w:proofErr w:type="spellEnd"/>
      <w:r w:rsidRPr="00877F81">
        <w:rPr>
          <w:rFonts w:ascii="CapitoliumNews-Regular" w:hAnsi="CapitoliumNews-Regular"/>
          <w:color w:val="231F20"/>
        </w:rPr>
        <w:t xml:space="preserve"> </w:t>
      </w:r>
      <w:r w:rsidRPr="00877F81">
        <w:rPr>
          <w:rFonts w:ascii="CapitoliumNews-Regular" w:hAnsi="CapitoliumNews-Regular"/>
          <w:color w:val="231F20"/>
          <w:sz w:val="14"/>
          <w:szCs w:val="14"/>
        </w:rPr>
        <w:t>2</w:t>
      </w:r>
      <w:r w:rsidRPr="00877F81">
        <w:rPr>
          <w:rFonts w:ascii="CapitoliumNews-Regular" w:hAnsi="CapitoliumNews-Regular"/>
          <w:color w:val="231F20"/>
        </w:rPr>
        <w:t xml:space="preserve">; Omid </w:t>
      </w:r>
      <w:proofErr w:type="spellStart"/>
      <w:r w:rsidRPr="00877F81">
        <w:rPr>
          <w:rFonts w:ascii="CapitoliumNews-Regular" w:hAnsi="CapitoliumNews-Regular"/>
          <w:color w:val="231F20"/>
        </w:rPr>
        <w:t>Omrani</w:t>
      </w:r>
      <w:proofErr w:type="spellEnd"/>
      <w:r w:rsidRPr="00877F81">
        <w:rPr>
          <w:rFonts w:ascii="CapitoliumNews-Regular" w:hAnsi="CapitoliumNews-Regular"/>
          <w:color w:val="231F20"/>
        </w:rPr>
        <w:t xml:space="preserve"> </w:t>
      </w:r>
      <w:r w:rsidRPr="00877F81">
        <w:rPr>
          <w:rFonts w:ascii="CapitoliumNews-Regular" w:hAnsi="CapitoliumNews-Regular"/>
          <w:color w:val="231F20"/>
          <w:sz w:val="14"/>
          <w:szCs w:val="14"/>
        </w:rPr>
        <w:t>1</w:t>
      </w:r>
      <w:r w:rsidRPr="00877F81">
        <w:rPr>
          <w:rFonts w:ascii="CapitoliumNews-Regular" w:hAnsi="CapitoliumNews-Regular"/>
          <w:color w:val="231F20"/>
          <w:sz w:val="14"/>
          <w:szCs w:val="14"/>
        </w:rPr>
        <w:br/>
      </w:r>
      <w:r w:rsidRPr="00877F81">
        <w:rPr>
          <w:rFonts w:ascii="CapitoliumNews-Regular" w:hAnsi="CapitoliumNews-Regular"/>
          <w:color w:val="231F20"/>
          <w:sz w:val="12"/>
          <w:szCs w:val="12"/>
        </w:rPr>
        <w:t>1Faculty of Natural Science, University of Tabriz, Tabriz, IR Iran</w:t>
      </w:r>
      <w:r w:rsidRPr="00877F81">
        <w:rPr>
          <w:rFonts w:ascii="CapitoliumNews-Regular" w:hAnsi="CapitoliumNews-Regular"/>
          <w:color w:val="231F20"/>
          <w:sz w:val="12"/>
          <w:szCs w:val="12"/>
        </w:rPr>
        <w:br/>
        <w:t>2Department of Pediatrics, Tabriz University of Medical Sciences, Tabriz, IR Iran</w:t>
      </w:r>
      <w:r w:rsidRPr="00877F81">
        <w:rPr>
          <w:rFonts w:ascii="CapitoliumNews-Regular" w:hAnsi="CapitoliumNews-Regular"/>
          <w:color w:val="231F20"/>
          <w:sz w:val="12"/>
          <w:szCs w:val="12"/>
        </w:rPr>
        <w:br/>
      </w:r>
      <w:r w:rsidRPr="00877F81">
        <w:rPr>
          <w:rFonts w:ascii="CapitoliumNews-Italic" w:hAnsi="CapitoliumNews-Italic"/>
          <w:i/>
          <w:iCs/>
          <w:color w:val="231F20"/>
          <w:sz w:val="12"/>
          <w:szCs w:val="12"/>
        </w:rPr>
        <w:t>*Corresponding author</w:t>
      </w:r>
      <w:r w:rsidRPr="00877F81">
        <w:rPr>
          <w:rFonts w:ascii="CapitoliumNews-Regular" w:hAnsi="CapitoliumNews-Regular"/>
          <w:color w:val="231F20"/>
          <w:sz w:val="12"/>
          <w:szCs w:val="12"/>
        </w:rPr>
        <w:t xml:space="preserve">: Aziz </w:t>
      </w:r>
      <w:proofErr w:type="spellStart"/>
      <w:r w:rsidRPr="00877F81">
        <w:rPr>
          <w:rFonts w:ascii="CapitoliumNews-Regular" w:hAnsi="CapitoliumNews-Regular"/>
          <w:color w:val="231F20"/>
          <w:sz w:val="12"/>
          <w:szCs w:val="12"/>
        </w:rPr>
        <w:t>Khorrami</w:t>
      </w:r>
      <w:proofErr w:type="spellEnd"/>
      <w:r w:rsidRPr="00877F81">
        <w:rPr>
          <w:rFonts w:ascii="CapitoliumNews-Regular" w:hAnsi="CapitoliumNews-Regular"/>
          <w:color w:val="231F20"/>
          <w:sz w:val="12"/>
          <w:szCs w:val="12"/>
        </w:rPr>
        <w:t>, Faculty of Natural Science, University of Tabriz, Tabriz, IR Iran</w:t>
      </w:r>
    </w:p>
    <w:p w:rsidR="00502074" w:rsidRPr="00877F81" w:rsidRDefault="00502074" w:rsidP="00AB5718">
      <w:pPr>
        <w:pStyle w:val="NormalWeb"/>
        <w:spacing w:line="360" w:lineRule="auto"/>
        <w:jc w:val="both"/>
        <w:rPr>
          <w:rFonts w:ascii="CapitoliumNews-Regular" w:hAnsi="CapitoliumNews-Regular" w:cs="B Lotus"/>
          <w:color w:val="231F20"/>
          <w:sz w:val="28"/>
          <w:szCs w:val="28"/>
        </w:rPr>
      </w:pPr>
      <w:r w:rsidRPr="00877F81">
        <w:rPr>
          <w:rFonts w:ascii="CapitoliumNews-Regular" w:hAnsi="CapitoliumNews-Regular" w:cs="B Lotus"/>
          <w:color w:val="231F20"/>
          <w:sz w:val="28"/>
          <w:szCs w:val="28"/>
        </w:rPr>
        <w:t>Cystic fibrosis (CF) is a life-limiting autosomal recessive disorder that is caused by mutations in the cystic fibrosis transmembrane conductance regulator (</w:t>
      </w:r>
      <w:r w:rsidRPr="00AB5718">
        <w:rPr>
          <w:rFonts w:ascii="CapitoliumNews-Regular" w:hAnsi="CapitoliumNews-Regular" w:cs="B Lotus"/>
          <w:color w:val="231F20"/>
          <w:sz w:val="28"/>
          <w:szCs w:val="28"/>
        </w:rPr>
        <w:t>CFTR</w:t>
      </w:r>
      <w:r w:rsidRPr="00877F81">
        <w:rPr>
          <w:rFonts w:ascii="CapitoliumNews-Regular" w:hAnsi="CapitoliumNews-Regular" w:cs="B Lotus"/>
          <w:color w:val="231F20"/>
          <w:sz w:val="28"/>
          <w:szCs w:val="28"/>
        </w:rPr>
        <w:t>) gene.</w:t>
      </w:r>
    </w:p>
    <w:p w:rsidR="00502074" w:rsidRPr="00877F81" w:rsidRDefault="00502074" w:rsidP="00AB5718">
      <w:pPr>
        <w:pStyle w:val="NormalWeb"/>
        <w:spacing w:line="360" w:lineRule="auto"/>
        <w:jc w:val="both"/>
        <w:rPr>
          <w:rFonts w:ascii="CapitoliumNews-Regular" w:hAnsi="CapitoliumNews-Regular" w:cs="B Lotus"/>
          <w:color w:val="231F20"/>
          <w:sz w:val="28"/>
          <w:szCs w:val="28"/>
        </w:rPr>
      </w:pPr>
      <w:r w:rsidRPr="00877F81">
        <w:rPr>
          <w:rFonts w:ascii="CapitoliumNews-Regular" w:hAnsi="CapitoliumNews-Regular" w:cs="B Lotus"/>
          <w:color w:val="231F20"/>
          <w:sz w:val="28"/>
          <w:szCs w:val="28"/>
        </w:rPr>
        <w:t xml:space="preserve">According to several studies, mutations in </w:t>
      </w:r>
      <w:r w:rsidRPr="00FF06AF">
        <w:rPr>
          <w:rFonts w:ascii="CapitoliumNews-Regular" w:hAnsi="CapitoliumNews-Regular" w:cs="B Lotus"/>
          <w:i/>
          <w:iCs/>
          <w:color w:val="231F20"/>
          <w:sz w:val="28"/>
          <w:szCs w:val="28"/>
        </w:rPr>
        <w:t>CFTR</w:t>
      </w:r>
      <w:r w:rsidRPr="00877F81">
        <w:rPr>
          <w:rFonts w:ascii="CapitoliumNews-Regular" w:hAnsi="CapitoliumNews-Regular" w:cs="B Lotus"/>
          <w:color w:val="231F20"/>
          <w:sz w:val="28"/>
          <w:szCs w:val="28"/>
        </w:rPr>
        <w:t xml:space="preserve"> in heterozygous status are over-represented in patients with milder CF phenotype like chronic pancreatitis and Bronchiectasis. Since not all cases of </w:t>
      </w:r>
      <w:r w:rsidRPr="00FF06AF">
        <w:rPr>
          <w:rFonts w:ascii="CapitoliumNews-Regular" w:hAnsi="CapitoliumNews-Regular" w:cs="B Lotus"/>
          <w:i/>
          <w:iCs/>
          <w:color w:val="231F20"/>
          <w:sz w:val="28"/>
          <w:szCs w:val="28"/>
        </w:rPr>
        <w:t>CFTR</w:t>
      </w:r>
      <w:r w:rsidRPr="00877F81">
        <w:rPr>
          <w:rFonts w:ascii="CapitoliumNews-Regular" w:hAnsi="CapitoliumNews-Regular" w:cs="B Lotus"/>
          <w:color w:val="231F20"/>
          <w:sz w:val="28"/>
          <w:szCs w:val="28"/>
        </w:rPr>
        <w:t xml:space="preserve"> mutation carriers have equal chance of expressing these clinical manifestations, analyses of CFTR gene, therefore, appears to be of limited diagnostic and prognostic value in the probability prediction of chronic pancreatitis and Bronchiectasis in subjects</w:t>
      </w:r>
      <w:r w:rsidRPr="00AB5718">
        <w:rPr>
          <w:rFonts w:ascii="CapitoliumNews-Regular" w:hAnsi="CapitoliumNews-Regular" w:cs="B Lotus"/>
          <w:color w:val="231F20"/>
          <w:sz w:val="28"/>
          <w:szCs w:val="28"/>
        </w:rPr>
        <w:t>.</w:t>
      </w:r>
    </w:p>
    <w:p w:rsidR="00502074" w:rsidRPr="00877F81" w:rsidRDefault="00502074" w:rsidP="00857AFA">
      <w:pPr>
        <w:pStyle w:val="NormalWeb"/>
        <w:spacing w:line="360" w:lineRule="auto"/>
        <w:rPr>
          <w:rFonts w:ascii="CapitoliumNews-Regular" w:hAnsi="CapitoliumNews-Regular" w:cs="B Lotus"/>
          <w:color w:val="231F20"/>
          <w:sz w:val="28"/>
          <w:szCs w:val="28"/>
        </w:rPr>
      </w:pPr>
      <w:r w:rsidRPr="00877F81">
        <w:rPr>
          <w:rFonts w:ascii="CapitoliumNews-Regular" w:hAnsi="CapitoliumNews-Regular" w:cs="B Lotus"/>
          <w:color w:val="231F20"/>
          <w:sz w:val="28"/>
          <w:szCs w:val="28"/>
        </w:rPr>
        <w:t xml:space="preserve">Based on the hypothesis that the cumulative effects of specific </w:t>
      </w:r>
      <w:r w:rsidR="00877F81" w:rsidRPr="00877F81">
        <w:rPr>
          <w:rFonts w:ascii="CapitoliumNews-Regular" w:hAnsi="CapitoliumNews-Regular" w:cs="B Lotus"/>
          <w:color w:val="231F20"/>
          <w:sz w:val="28"/>
          <w:szCs w:val="28"/>
        </w:rPr>
        <w:t xml:space="preserve">alleles and genotypes of </w:t>
      </w:r>
      <w:r w:rsidRPr="00877F81">
        <w:rPr>
          <w:rFonts w:ascii="CapitoliumNews-Regular" w:hAnsi="CapitoliumNews-Regular" w:cs="B Lotus"/>
          <w:color w:val="231F20"/>
          <w:sz w:val="28"/>
          <w:szCs w:val="28"/>
        </w:rPr>
        <w:t xml:space="preserve">multiple CF modifier genes, such as </w:t>
      </w:r>
      <w:r w:rsidRPr="00FF06AF">
        <w:rPr>
          <w:rFonts w:ascii="CapitoliumNews-Regular" w:hAnsi="CapitoliumNews-Regular" w:cs="B Lotus"/>
          <w:i/>
          <w:iCs/>
          <w:color w:val="231F20"/>
          <w:sz w:val="28"/>
          <w:szCs w:val="28"/>
        </w:rPr>
        <w:t>TNF-α</w:t>
      </w:r>
      <w:r w:rsidRPr="00877F81">
        <w:rPr>
          <w:rFonts w:ascii="CapitoliumNews-Regular" w:hAnsi="CapitoliumNews-Regular" w:cs="B Lotus"/>
          <w:color w:val="231F20"/>
          <w:sz w:val="28"/>
          <w:szCs w:val="28"/>
        </w:rPr>
        <w:t xml:space="preserve">, may create the ultimate phenotype, we investigated the potential role of </w:t>
      </w:r>
      <w:r w:rsidRPr="00A0178D">
        <w:rPr>
          <w:rFonts w:ascii="CapitoliumNews-Regular" w:hAnsi="CapitoliumNews-Regular" w:cs="B Lotus"/>
          <w:i/>
          <w:iCs/>
          <w:color w:val="231F20"/>
          <w:sz w:val="28"/>
          <w:szCs w:val="28"/>
        </w:rPr>
        <w:t>TNF-α</w:t>
      </w:r>
      <w:r w:rsidRPr="00AB5718">
        <w:rPr>
          <w:rFonts w:ascii="CapitoliumNews-Regular" w:hAnsi="CapitoliumNews-Regular" w:cs="B Lotus"/>
          <w:color w:val="231F20"/>
          <w:sz w:val="28"/>
          <w:szCs w:val="28"/>
        </w:rPr>
        <w:t xml:space="preserve">, </w:t>
      </w:r>
      <w:r w:rsidRPr="00877F81">
        <w:rPr>
          <w:rFonts w:ascii="CapitoliumNews-Regular" w:hAnsi="CapitoliumNews-Regular" w:cs="B Lotus"/>
          <w:color w:val="231F20"/>
          <w:sz w:val="28"/>
          <w:szCs w:val="28"/>
        </w:rPr>
        <w:t xml:space="preserve">in patients with only one known pathogenic mutation in </w:t>
      </w:r>
      <w:r w:rsidRPr="00DD037F">
        <w:rPr>
          <w:rFonts w:ascii="CapitoliumNews-Regular" w:hAnsi="CapitoliumNews-Regular" w:cs="B Lotus"/>
          <w:i/>
          <w:iCs/>
          <w:color w:val="231F20"/>
          <w:sz w:val="28"/>
          <w:szCs w:val="28"/>
        </w:rPr>
        <w:t>CFTR</w:t>
      </w:r>
      <w:r w:rsidRPr="00877F81">
        <w:rPr>
          <w:rFonts w:ascii="CapitoliumNews-Regular" w:hAnsi="CapitoliumNews-Regular" w:cs="B Lotus"/>
          <w:color w:val="231F20"/>
          <w:sz w:val="28"/>
          <w:szCs w:val="28"/>
        </w:rPr>
        <w:t xml:space="preserve">. </w:t>
      </w:r>
      <w:r w:rsidRPr="00AB5718">
        <w:rPr>
          <w:rFonts w:ascii="CapitoliumNews-Regular" w:hAnsi="CapitoliumNews-Regular" w:cs="B Lotus"/>
          <w:color w:val="231F20"/>
          <w:sz w:val="28"/>
          <w:szCs w:val="28"/>
        </w:rPr>
        <w:t xml:space="preserve">We genotyped two SNPs </w:t>
      </w:r>
      <w:r w:rsidRPr="00877F81">
        <w:rPr>
          <w:rFonts w:ascii="CapitoliumNews-Regular" w:hAnsi="CapitoliumNews-Regular" w:cs="B Lotus"/>
          <w:color w:val="231F20"/>
          <w:sz w:val="28"/>
          <w:szCs w:val="28"/>
        </w:rPr>
        <w:t xml:space="preserve">sites (-1031T/C and -308G/A) </w:t>
      </w:r>
      <w:r w:rsidRPr="00AB5718">
        <w:rPr>
          <w:rFonts w:ascii="CapitoliumNews-Regular" w:hAnsi="CapitoliumNews-Regular" w:cs="B Lotus"/>
          <w:color w:val="231F20"/>
          <w:sz w:val="28"/>
          <w:szCs w:val="28"/>
        </w:rPr>
        <w:t xml:space="preserve">on promoter region of the </w:t>
      </w:r>
      <w:r w:rsidRPr="00DD037F">
        <w:rPr>
          <w:rFonts w:ascii="CapitoliumNews-Regular" w:hAnsi="CapitoliumNews-Regular" w:cs="B Lotus"/>
          <w:i/>
          <w:iCs/>
          <w:color w:val="231F20"/>
          <w:sz w:val="28"/>
          <w:szCs w:val="28"/>
        </w:rPr>
        <w:t>TNF-α</w:t>
      </w:r>
      <w:r w:rsidRPr="00AB5718">
        <w:rPr>
          <w:rFonts w:ascii="CapitoliumNews-Regular" w:hAnsi="CapitoliumNews-Regular" w:cs="B Lotus"/>
          <w:color w:val="231F20"/>
          <w:sz w:val="28"/>
          <w:szCs w:val="28"/>
        </w:rPr>
        <w:t xml:space="preserve"> with verified influences on gene expression in transcriptional level</w:t>
      </w:r>
      <w:r w:rsidRPr="00877F81">
        <w:rPr>
          <w:rFonts w:ascii="CapitoliumNews-Regular" w:hAnsi="CapitoliumNews-Regular" w:cs="B Lotus"/>
          <w:color w:val="231F20"/>
          <w:sz w:val="28"/>
          <w:szCs w:val="28"/>
        </w:rPr>
        <w:t xml:space="preserve">. 50 CF patients and 157 healthy control subjects </w:t>
      </w:r>
      <w:r w:rsidR="00AB5718">
        <w:rPr>
          <w:rFonts w:ascii="CapitoliumNews-Regular" w:hAnsi="CapitoliumNews-Regular" w:cs="B Lotus"/>
          <w:color w:val="231F20"/>
          <w:sz w:val="28"/>
          <w:szCs w:val="28"/>
        </w:rPr>
        <w:t>of Azeri Turkish ethnicity</w:t>
      </w:r>
      <w:r w:rsidR="00857AFA">
        <w:rPr>
          <w:rFonts w:ascii="CapitoliumNews-Regular" w:hAnsi="CapitoliumNews-Regular" w:cs="B Lotus"/>
          <w:color w:val="231F20"/>
          <w:sz w:val="28"/>
          <w:szCs w:val="28"/>
        </w:rPr>
        <w:t>(</w:t>
      </w:r>
      <w:r w:rsidR="00857AFA" w:rsidRPr="00857AFA">
        <w:rPr>
          <w:rFonts w:ascii="CapitoliumNews-Regular" w:hAnsi="CapitoliumNews-Regular" w:cs="B Lotus"/>
          <w:color w:val="231F20"/>
          <w:sz w:val="28"/>
          <w:szCs w:val="28"/>
        </w:rPr>
        <w:t>aged &lt;18</w:t>
      </w:r>
      <w:r w:rsidR="00857AFA">
        <w:rPr>
          <w:rFonts w:ascii="CapitoliumNews-Regular" w:hAnsi="CapitoliumNews-Regular" w:cs="B Lotus"/>
          <w:color w:val="231F20"/>
          <w:sz w:val="28"/>
          <w:szCs w:val="28"/>
        </w:rPr>
        <w:t xml:space="preserve"> </w:t>
      </w:r>
      <w:r w:rsidR="00857AFA" w:rsidRPr="00857AFA">
        <w:rPr>
          <w:rFonts w:ascii="CapitoliumNews-Regular" w:hAnsi="CapitoliumNews-Regular" w:cs="B Lotus"/>
          <w:color w:val="231F20"/>
          <w:sz w:val="28"/>
          <w:szCs w:val="28"/>
        </w:rPr>
        <w:t>years)</w:t>
      </w:r>
      <w:bookmarkStart w:id="0" w:name="_GoBack"/>
      <w:bookmarkEnd w:id="0"/>
      <w:r w:rsidR="00AB5718">
        <w:rPr>
          <w:rFonts w:ascii="CapitoliumNews-Regular" w:hAnsi="CapitoliumNews-Regular" w:cs="B Lotus"/>
          <w:color w:val="231F20"/>
          <w:sz w:val="28"/>
          <w:szCs w:val="28"/>
        </w:rPr>
        <w:t xml:space="preserve"> were </w:t>
      </w:r>
      <w:r w:rsidRPr="00877F81">
        <w:rPr>
          <w:rFonts w:ascii="CapitoliumNews-Regular" w:hAnsi="CapitoliumNews-Regular" w:cs="B Lotus"/>
          <w:color w:val="231F20"/>
          <w:sz w:val="28"/>
          <w:szCs w:val="28"/>
        </w:rPr>
        <w:t>studied by the PCR–RFLP method. The chi-square test with Yates' correction and Fisher's exact test were used for statistical analysis</w:t>
      </w:r>
      <w:r w:rsidR="009110CA">
        <w:rPr>
          <w:rFonts w:ascii="CapitoliumNews-Regular" w:hAnsi="CapitoliumNews-Regular" w:cs="B Lotus"/>
          <w:color w:val="231F20"/>
          <w:sz w:val="28"/>
          <w:szCs w:val="28"/>
        </w:rPr>
        <w:t>.</w:t>
      </w:r>
    </w:p>
    <w:p w:rsidR="001D0858" w:rsidRPr="00AB5718" w:rsidRDefault="00502074" w:rsidP="00AB5718">
      <w:pPr>
        <w:pStyle w:val="NormalWeb"/>
        <w:spacing w:line="360" w:lineRule="auto"/>
        <w:jc w:val="both"/>
        <w:rPr>
          <w:rFonts w:ascii="CapitoliumNews-Regular" w:hAnsi="CapitoliumNews-Regular" w:cs="B Lotus"/>
          <w:color w:val="231F20"/>
          <w:sz w:val="28"/>
          <w:szCs w:val="28"/>
          <w:rtl/>
        </w:rPr>
      </w:pPr>
      <w:r w:rsidRPr="00877F81">
        <w:rPr>
          <w:rFonts w:ascii="CapitoliumNews-Regular" w:hAnsi="CapitoliumNews-Regular" w:cs="B Lotus"/>
          <w:color w:val="231F20"/>
          <w:sz w:val="28"/>
          <w:szCs w:val="28"/>
        </w:rPr>
        <w:t>The allele and genotype distribution of the investigated polymorphisms, and their associated haplotypes were not statistically different in case and control groups.</w:t>
      </w:r>
      <w:r w:rsidR="00AB5718">
        <w:rPr>
          <w:rFonts w:ascii="CapitoliumNews-Regular" w:hAnsi="CapitoliumNews-Regular" w:cs="B Lotus"/>
          <w:color w:val="231F20"/>
          <w:sz w:val="28"/>
          <w:szCs w:val="28"/>
        </w:rPr>
        <w:t xml:space="preserve"> </w:t>
      </w:r>
      <w:r w:rsidRPr="00877F81">
        <w:rPr>
          <w:rFonts w:ascii="CapitoliumNews-Regular" w:hAnsi="CapitoliumNews-Regular" w:cs="B Lotus"/>
          <w:color w:val="231F20"/>
          <w:sz w:val="28"/>
          <w:szCs w:val="28"/>
        </w:rPr>
        <w:t xml:space="preserve">There was no supportive evidence for the association of </w:t>
      </w:r>
      <w:r w:rsidRPr="00AB5718">
        <w:rPr>
          <w:rFonts w:ascii="CapitoliumNews-Regular" w:hAnsi="CapitoliumNews-Regular" w:cs="B Lotus"/>
          <w:color w:val="231F20"/>
          <w:sz w:val="28"/>
          <w:szCs w:val="28"/>
        </w:rPr>
        <w:t xml:space="preserve">TNF-α </w:t>
      </w:r>
      <w:r w:rsidRPr="00877F81">
        <w:rPr>
          <w:rFonts w:ascii="CapitoliumNews-Regular" w:hAnsi="CapitoliumNews-Regular" w:cs="B Lotus"/>
          <w:color w:val="231F20"/>
          <w:sz w:val="28"/>
          <w:szCs w:val="28"/>
        </w:rPr>
        <w:t xml:space="preserve">gene polymorphisms with CF related clinical manifestations in carriers of </w:t>
      </w:r>
      <w:r w:rsidRPr="00DD037F">
        <w:rPr>
          <w:rFonts w:ascii="CapitoliumNews-Regular" w:hAnsi="CapitoliumNews-Regular" w:cs="B Lotus"/>
          <w:i/>
          <w:iCs/>
          <w:color w:val="231F20"/>
          <w:sz w:val="28"/>
          <w:szCs w:val="28"/>
        </w:rPr>
        <w:t>CFTR</w:t>
      </w:r>
      <w:r w:rsidRPr="00877F81">
        <w:rPr>
          <w:rFonts w:ascii="CapitoliumNews-Regular" w:hAnsi="CapitoliumNews-Regular" w:cs="B Lotus"/>
          <w:color w:val="231F20"/>
          <w:sz w:val="28"/>
          <w:szCs w:val="28"/>
        </w:rPr>
        <w:t xml:space="preserve"> mutations.</w:t>
      </w:r>
    </w:p>
    <w:sectPr w:rsidR="001D0858" w:rsidRPr="00AB5718" w:rsidSect="00F61AC4">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pitoliumNews-Regular">
    <w:altName w:val="Times New Roman"/>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CapitoliumNews-Italic">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074"/>
    <w:rsid w:val="001D0858"/>
    <w:rsid w:val="00502074"/>
    <w:rsid w:val="00857AFA"/>
    <w:rsid w:val="00877F81"/>
    <w:rsid w:val="009110CA"/>
    <w:rsid w:val="00A0178D"/>
    <w:rsid w:val="00AB5718"/>
    <w:rsid w:val="00DD037F"/>
    <w:rsid w:val="00F61AC4"/>
    <w:rsid w:val="00FF06A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EB830"/>
  <w15:chartTrackingRefBased/>
  <w15:docId w15:val="{D941DDAE-8543-427F-B84B-35D883A54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07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2074"/>
    <w:pPr>
      <w:bidi w:val="0"/>
      <w:spacing w:before="100" w:beforeAutospacing="1" w:after="100" w:afterAutospacing="1" w:line="240" w:lineRule="auto"/>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301</Words>
  <Characters>1718</Characters>
  <Application>Microsoft Office Word</Application>
  <DocSecurity>0</DocSecurity>
  <Lines>14</Lines>
  <Paragraphs>4</Paragraphs>
  <ScaleCrop>false</ScaleCrop>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8</cp:revision>
  <dcterms:created xsi:type="dcterms:W3CDTF">2017-09-06T12:54:00Z</dcterms:created>
  <dcterms:modified xsi:type="dcterms:W3CDTF">2017-09-06T17:54:00Z</dcterms:modified>
</cp:coreProperties>
</file>