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D82BF" w14:textId="77777777" w:rsidR="003414C1" w:rsidRDefault="003414C1" w:rsidP="003414C1">
      <w:pPr>
        <w:pStyle w:val="Heading1"/>
        <w:spacing w:before="170"/>
        <w:ind w:left="0"/>
      </w:pPr>
      <w:r>
        <w:rPr>
          <w:color w:val="337AB7"/>
        </w:rPr>
        <w:t>Familial Mediterranean fever: The need for a new standard criterion in clinical diagnosis</w:t>
      </w:r>
    </w:p>
    <w:p w14:paraId="25B1ED07" w14:textId="03E5B951" w:rsidR="003414C1" w:rsidRPr="00692981" w:rsidRDefault="003414C1" w:rsidP="006F4D61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Emmanuel Fagbola, BScH candidate, Queen</w:t>
      </w:r>
      <w:r>
        <w:rPr>
          <w:rFonts w:ascii="Arial"/>
        </w:rPr>
        <w:t>’</w:t>
      </w:r>
      <w:r>
        <w:rPr>
          <w:rFonts w:ascii="Arial"/>
        </w:rPr>
        <w:t>s University, Canada</w:t>
      </w:r>
    </w:p>
    <w:p w14:paraId="4A3F09CD" w14:textId="77777777" w:rsidR="00AE3E37" w:rsidRDefault="00AE3E37">
      <w:pPr>
        <w:pStyle w:val="BodyText"/>
        <w:rPr>
          <w:rFonts w:ascii="Arial"/>
          <w:sz w:val="20"/>
        </w:rPr>
      </w:pPr>
    </w:p>
    <w:p w14:paraId="6F67D72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DB629F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075D6E8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FDEB2D8" w14:textId="460C19ED" w:rsidR="003414C1" w:rsidRPr="00977408" w:rsidRDefault="003414C1" w:rsidP="003414C1">
      <w:pPr>
        <w:pStyle w:val="BodyText"/>
        <w:spacing w:before="90" w:line="280" w:lineRule="auto"/>
        <w:ind w:left="100"/>
        <w:jc w:val="both"/>
      </w:pPr>
      <w:r w:rsidRPr="00977408">
        <w:t>Statement of the Problem: The current standard for diagnosing FMF (Familial Mediterranean fever) in children established by Yal</w:t>
      </w:r>
      <w:r w:rsidR="00344814">
        <w:t>ç</w:t>
      </w:r>
      <w:r w:rsidRPr="00977408">
        <w:t>inkaya et al.</w:t>
      </w:r>
      <w:r w:rsidRPr="00977408">
        <w:rPr>
          <w:vertAlign w:val="superscript"/>
        </w:rPr>
        <w:t>1</w:t>
      </w:r>
      <w:r w:rsidRPr="00977408">
        <w:t xml:space="preserve">, was a great advancement in the clinical diagnosis of the disease worldwide. However, this set of criteria is based on a non-representative group of children who are homozygous recessive for the disease. Recent evidence shows that children are being diagnosed with FMF without meeting the standard criteria and/or without being homozygous recessive for the known MEFV gene mutations. The purpose of this clinical  case study is to further support the need to establish a new standard diagnosis criterion for the disease. Methodology &amp; Theoretical Orientation: The medical history of a 5-year-old girl was analyzed in this case study. When suspected to have FMF a treatment of colchicine was started. A graph showing documented temperatures prior to, during, and after colchicine treatment was created to establish a possible relationship and confirm diagnosis. Findings: The 5-year-old girl in this study presented to the emergency room with a history of recurrent fever (15-months). Out of the 5-criterion used to diagnose FMF, this child only associated with one. FMF was suspected none-the-less and a treatment of colchicine began. Simultaneously, DNA genetic testing revealed a heterozygous mutation of the MEFV gene (met694val). </w:t>
      </w:r>
      <w:r w:rsidRPr="00D03D75">
        <w:t>Four years after diagnosis</w:t>
      </w:r>
      <w:r w:rsidR="00D03D75" w:rsidRPr="00344814">
        <w:t>,</w:t>
      </w:r>
      <w:r w:rsidRPr="00D03D75">
        <w:t xml:space="preserve"> patient returned to normal showing no manifestations of the disease.</w:t>
      </w:r>
      <w:r w:rsidRPr="00977408">
        <w:t xml:space="preserve"> Conclusion &amp; Significance: As shown by the building evidence in the pediatric field, FMF is a disease that can affect anyone (not just those identifying with</w:t>
      </w:r>
      <w:r w:rsidR="00D03D75">
        <w:t xml:space="preserve"> lineage from</w:t>
      </w:r>
      <w:r w:rsidRPr="00977408">
        <w:t xml:space="preserve"> the </w:t>
      </w:r>
      <w:r w:rsidRPr="00344814">
        <w:t>Mediterranean basin</w:t>
      </w:r>
      <w:r w:rsidRPr="00977408">
        <w:t xml:space="preserve">) and can manifest differently amongst those affected. Therefore, a new set of criteria is needed to be able to effectively diagnosis children with FMF </w:t>
      </w:r>
      <w:r w:rsidRPr="00344814">
        <w:t>with</w:t>
      </w:r>
      <w:r w:rsidRPr="00977408">
        <w:t xml:space="preserve"> </w:t>
      </w:r>
      <w:r w:rsidR="00344814">
        <w:t xml:space="preserve">a </w:t>
      </w:r>
      <w:r w:rsidRPr="00977408">
        <w:t xml:space="preserve">high </w:t>
      </w:r>
      <w:r w:rsidR="00344814">
        <w:t xml:space="preserve">degree of </w:t>
      </w:r>
      <w:r w:rsidRPr="00977408">
        <w:t>sensitivity and specificity (especially in diverse ethnic populations) allowing improved and uniform care throughout the world.</w:t>
      </w:r>
    </w:p>
    <w:p w14:paraId="607D7824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876EE25" w14:textId="5DF2517B" w:rsidR="00AE3E37" w:rsidRDefault="003414C1" w:rsidP="0006730D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3C2BB2BC" wp14:editId="6CE62F92">
            <wp:extent cx="2804198" cy="2264171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8-03 at 10.55.45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561" cy="229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ADEF4" w14:textId="422AF282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826E7F4" w14:textId="61B35A97" w:rsidR="005D1615" w:rsidRDefault="005D1615" w:rsidP="0006730D">
      <w:pPr>
        <w:widowControl/>
        <w:numPr>
          <w:ilvl w:val="0"/>
          <w:numId w:val="3"/>
        </w:numPr>
        <w:spacing w:after="100" w:afterAutospacing="1"/>
        <w:ind w:left="380"/>
        <w:jc w:val="both"/>
        <w:rPr>
          <w:rFonts w:asciiTheme="minorHAnsi" w:eastAsia="Times New Roman" w:hAnsiTheme="minorHAnsi" w:cstheme="minorHAnsi"/>
          <w:sz w:val="18"/>
          <w:szCs w:val="18"/>
          <w:lang w:val="en-CA"/>
        </w:rPr>
      </w:pPr>
      <w:r w:rsidRPr="007B3DE5">
        <w:rPr>
          <w:rFonts w:asciiTheme="minorHAnsi" w:eastAsia="Times New Roman" w:hAnsiTheme="minorHAnsi" w:cstheme="minorHAnsi"/>
          <w:sz w:val="18"/>
          <w:szCs w:val="18"/>
          <w:lang w:val="en-CA"/>
        </w:rPr>
        <w:t>Aksentijevich I, Kastner DL</w:t>
      </w:r>
      <w:r>
        <w:rPr>
          <w:rFonts w:asciiTheme="minorHAnsi" w:eastAsia="Times New Roman" w:hAnsiTheme="minorHAnsi" w:cstheme="minorHAnsi"/>
          <w:sz w:val="18"/>
          <w:szCs w:val="18"/>
          <w:lang w:val="en-CA"/>
        </w:rPr>
        <w:t xml:space="preserve"> (</w:t>
      </w:r>
      <w:r w:rsidRPr="007B3DE5">
        <w:rPr>
          <w:rFonts w:asciiTheme="minorHAnsi" w:eastAsia="Times New Roman" w:hAnsiTheme="minorHAnsi" w:cstheme="minorHAnsi"/>
          <w:sz w:val="18"/>
          <w:szCs w:val="18"/>
          <w:lang w:val="en-CA"/>
        </w:rPr>
        <w:t>2011</w:t>
      </w:r>
      <w:r>
        <w:rPr>
          <w:rFonts w:asciiTheme="minorHAnsi" w:eastAsia="Times New Roman" w:hAnsiTheme="minorHAnsi" w:cstheme="minorHAnsi"/>
          <w:sz w:val="18"/>
          <w:szCs w:val="18"/>
          <w:lang w:val="en-CA"/>
        </w:rPr>
        <w:t>)</w:t>
      </w:r>
      <w:r w:rsidRPr="007B3DE5">
        <w:rPr>
          <w:rFonts w:asciiTheme="minorHAnsi" w:eastAsia="Times New Roman" w:hAnsiTheme="minorHAnsi" w:cstheme="minorHAnsi"/>
          <w:sz w:val="18"/>
          <w:szCs w:val="18"/>
          <w:lang w:val="en-CA"/>
        </w:rPr>
        <w:t xml:space="preserve"> Genetics of monogenic autoinflammatory diseases: past successes, future challenges. Nat Rev Rheumatol 7:469–78. </w:t>
      </w:r>
    </w:p>
    <w:p w14:paraId="18F01B5C" w14:textId="6AC01A24" w:rsidR="005D1615" w:rsidRPr="005D1615" w:rsidRDefault="005D1615" w:rsidP="005D1615">
      <w:pPr>
        <w:widowControl/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18"/>
          <w:szCs w:val="18"/>
          <w:lang w:val="en-CA"/>
        </w:rPr>
      </w:pPr>
      <w:r w:rsidRPr="007B3DE5">
        <w:rPr>
          <w:rFonts w:asciiTheme="minorHAnsi" w:hAnsiTheme="minorHAnsi" w:cstheme="minorHAnsi"/>
          <w:sz w:val="18"/>
          <w:szCs w:val="18"/>
        </w:rPr>
        <w:t xml:space="preserve">Giancane G, Ter Haar NM, Wulffraat N, et al. </w:t>
      </w:r>
      <w:r>
        <w:rPr>
          <w:rFonts w:asciiTheme="minorHAnsi" w:hAnsiTheme="minorHAnsi" w:cstheme="minorHAnsi"/>
          <w:sz w:val="18"/>
          <w:szCs w:val="18"/>
        </w:rPr>
        <w:t>(</w:t>
      </w:r>
      <w:r w:rsidRPr="007B3DE5">
        <w:rPr>
          <w:rFonts w:asciiTheme="minorHAnsi" w:hAnsiTheme="minorHAnsi" w:cstheme="minorHAnsi"/>
          <w:sz w:val="18"/>
          <w:szCs w:val="18"/>
        </w:rPr>
        <w:t>2015</w:t>
      </w:r>
      <w:r>
        <w:rPr>
          <w:rFonts w:asciiTheme="minorHAnsi" w:hAnsiTheme="minorHAnsi" w:cstheme="minorHAnsi"/>
          <w:sz w:val="18"/>
          <w:szCs w:val="18"/>
        </w:rPr>
        <w:t xml:space="preserve">) </w:t>
      </w:r>
      <w:r w:rsidRPr="007B3DE5">
        <w:rPr>
          <w:rFonts w:asciiTheme="minorHAnsi" w:hAnsiTheme="minorHAnsi" w:cstheme="minorHAnsi"/>
          <w:sz w:val="18"/>
          <w:szCs w:val="18"/>
        </w:rPr>
        <w:t>Evidence-based recommendations for genetic diagnosis of familial Mediterranean fever. Ann Rheum Dis 74:635–41.</w:t>
      </w:r>
    </w:p>
    <w:p w14:paraId="092F2904" w14:textId="7148A117" w:rsidR="005D1615" w:rsidRPr="007B3DE5" w:rsidRDefault="005D1615" w:rsidP="005D1615">
      <w:pPr>
        <w:widowControl/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18"/>
          <w:szCs w:val="18"/>
          <w:lang w:val="en-CA"/>
        </w:rPr>
      </w:pPr>
      <w:r w:rsidRPr="00527BDA">
        <w:rPr>
          <w:rFonts w:asciiTheme="minorHAnsi" w:hAnsiTheme="minorHAnsi" w:cstheme="minorHAnsi"/>
          <w:sz w:val="18"/>
          <w:szCs w:val="18"/>
          <w:lang w:val="es-US"/>
        </w:rPr>
        <w:t xml:space="preserve">Lachmann HJ, Sengül B, Yavuzşen TU, et al. </w:t>
      </w:r>
      <w:r>
        <w:rPr>
          <w:rFonts w:asciiTheme="minorHAnsi" w:hAnsiTheme="minorHAnsi" w:cstheme="minorHAnsi"/>
          <w:sz w:val="18"/>
          <w:szCs w:val="18"/>
        </w:rPr>
        <w:t>(</w:t>
      </w:r>
      <w:r w:rsidRPr="007B3DE5">
        <w:rPr>
          <w:rFonts w:asciiTheme="minorHAnsi" w:hAnsiTheme="minorHAnsi" w:cstheme="minorHAnsi"/>
          <w:sz w:val="18"/>
          <w:szCs w:val="18"/>
        </w:rPr>
        <w:t>2006</w:t>
      </w:r>
      <w:r>
        <w:rPr>
          <w:rFonts w:asciiTheme="minorHAnsi" w:hAnsiTheme="minorHAnsi" w:cstheme="minorHAnsi"/>
          <w:sz w:val="18"/>
          <w:szCs w:val="18"/>
        </w:rPr>
        <w:t xml:space="preserve">) </w:t>
      </w:r>
      <w:r w:rsidRPr="007B3DE5">
        <w:rPr>
          <w:rFonts w:asciiTheme="minorHAnsi" w:hAnsiTheme="minorHAnsi" w:cstheme="minorHAnsi"/>
          <w:sz w:val="18"/>
          <w:szCs w:val="18"/>
        </w:rPr>
        <w:t xml:space="preserve">Clinical and subclinical inflammation in patients with familial Mediterranean fever and in heterozygous carriers of MEFV mutations. Rheumatology (Oxford) 45:746–50. </w:t>
      </w:r>
    </w:p>
    <w:p w14:paraId="24FFECE1" w14:textId="66B7D242" w:rsidR="005D1615" w:rsidRPr="0006730D" w:rsidRDefault="005D1615" w:rsidP="0006730D">
      <w:pPr>
        <w:widowControl/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18"/>
          <w:szCs w:val="18"/>
          <w:lang w:val="en-CA"/>
        </w:rPr>
      </w:pPr>
      <w:r w:rsidRPr="00527BDA">
        <w:rPr>
          <w:rFonts w:asciiTheme="minorHAnsi" w:eastAsia="Times New Roman" w:hAnsiTheme="minorHAnsi" w:cstheme="minorHAnsi"/>
          <w:sz w:val="18"/>
          <w:szCs w:val="18"/>
          <w:lang w:val="es-US"/>
        </w:rPr>
        <w:t xml:space="preserve">Marek-Yagel D, Berkun Y, Padeh S, et al. </w:t>
      </w:r>
      <w:r>
        <w:rPr>
          <w:rFonts w:asciiTheme="minorHAnsi" w:eastAsia="Times New Roman" w:hAnsiTheme="minorHAnsi" w:cstheme="minorHAnsi"/>
          <w:sz w:val="18"/>
          <w:szCs w:val="18"/>
          <w:lang w:val="en-CA"/>
        </w:rPr>
        <w:t>(</w:t>
      </w:r>
      <w:r w:rsidRPr="007B3DE5">
        <w:rPr>
          <w:rFonts w:asciiTheme="minorHAnsi" w:eastAsia="Times New Roman" w:hAnsiTheme="minorHAnsi" w:cstheme="minorHAnsi"/>
          <w:sz w:val="18"/>
          <w:szCs w:val="18"/>
          <w:lang w:val="en-CA"/>
        </w:rPr>
        <w:t>2009</w:t>
      </w:r>
      <w:r>
        <w:rPr>
          <w:rFonts w:asciiTheme="minorHAnsi" w:eastAsia="Times New Roman" w:hAnsiTheme="minorHAnsi" w:cstheme="minorHAnsi"/>
          <w:sz w:val="18"/>
          <w:szCs w:val="18"/>
          <w:lang w:val="en-CA"/>
        </w:rPr>
        <w:t xml:space="preserve">) </w:t>
      </w:r>
      <w:r w:rsidRPr="007B3DE5">
        <w:rPr>
          <w:rFonts w:asciiTheme="minorHAnsi" w:eastAsia="Times New Roman" w:hAnsiTheme="minorHAnsi" w:cstheme="minorHAnsi"/>
          <w:sz w:val="18"/>
          <w:szCs w:val="18"/>
          <w:lang w:val="en-CA"/>
        </w:rPr>
        <w:t xml:space="preserve">Clinical disease among patients heterozygous for familial Mediterranean fever. Arthritis Rheum 60:1862–6. </w:t>
      </w:r>
    </w:p>
    <w:p w14:paraId="1A330D0A" w14:textId="3FA56BD7" w:rsidR="003414C1" w:rsidRPr="007B3DE5" w:rsidRDefault="003414C1" w:rsidP="003414C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382A09">
        <w:rPr>
          <w:rFonts w:asciiTheme="minorHAnsi" w:hAnsiTheme="minorHAnsi" w:cstheme="minorHAnsi"/>
          <w:sz w:val="18"/>
          <w:szCs w:val="18"/>
        </w:rPr>
        <w:t>Uruthirakumar R, Fagbola E, Tse TT, Moodie</w:t>
      </w:r>
      <w:r w:rsidRPr="007B3DE5">
        <w:rPr>
          <w:rFonts w:asciiTheme="minorHAnsi" w:hAnsiTheme="minorHAnsi" w:cstheme="minorHAnsi"/>
          <w:sz w:val="18"/>
          <w:szCs w:val="18"/>
        </w:rPr>
        <w:t xml:space="preserve"> RG, Etoom Y, Laxer R</w:t>
      </w:r>
      <w:r>
        <w:rPr>
          <w:rFonts w:asciiTheme="minorHAnsi" w:hAnsiTheme="minorHAnsi" w:cstheme="minorHAnsi"/>
          <w:sz w:val="18"/>
          <w:szCs w:val="18"/>
        </w:rPr>
        <w:t>,</w:t>
      </w:r>
      <w:r w:rsidRPr="007B3DE5">
        <w:rPr>
          <w:rFonts w:asciiTheme="minorHAnsi" w:hAnsiTheme="minorHAnsi" w:cstheme="minorHAnsi"/>
          <w:sz w:val="18"/>
          <w:szCs w:val="18"/>
        </w:rPr>
        <w:t xml:space="preserve"> Wong PD (2019) </w:t>
      </w:r>
      <w:r>
        <w:rPr>
          <w:rFonts w:asciiTheme="minorHAnsi" w:hAnsiTheme="minorHAnsi" w:cstheme="minorHAnsi"/>
          <w:sz w:val="18"/>
          <w:szCs w:val="18"/>
          <w:bdr w:val="none" w:sz="0" w:space="0" w:color="auto" w:frame="1"/>
        </w:rPr>
        <w:t>A 5-year-old girl with recurrent fever. Paediatrics and Child Health 1:1-3.</w:t>
      </w:r>
      <w:r w:rsidRPr="007B3DE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3880164" w14:textId="1C1B469E" w:rsidR="003414C1" w:rsidRPr="007B3DE5" w:rsidRDefault="003414C1" w:rsidP="003414C1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7B3DE5">
        <w:rPr>
          <w:rFonts w:asciiTheme="minorHAnsi" w:hAnsiTheme="minorHAnsi" w:cstheme="minorHAnsi"/>
          <w:sz w:val="18"/>
          <w:szCs w:val="18"/>
        </w:rPr>
        <w:t>Yalçinkaya F, Ozen S, Ozçakar ZB, et al</w:t>
      </w:r>
      <w:r>
        <w:rPr>
          <w:rFonts w:asciiTheme="minorHAnsi" w:hAnsiTheme="minorHAnsi" w:cstheme="minorHAnsi"/>
          <w:sz w:val="18"/>
          <w:szCs w:val="18"/>
        </w:rPr>
        <w:t>. (</w:t>
      </w:r>
      <w:r w:rsidRPr="007B3DE5">
        <w:rPr>
          <w:rFonts w:asciiTheme="minorHAnsi" w:hAnsiTheme="minorHAnsi" w:cstheme="minorHAnsi"/>
          <w:sz w:val="18"/>
          <w:szCs w:val="18"/>
        </w:rPr>
        <w:t>2009</w:t>
      </w:r>
      <w:r>
        <w:rPr>
          <w:rFonts w:asciiTheme="minorHAnsi" w:hAnsiTheme="minorHAnsi" w:cstheme="minorHAnsi"/>
          <w:sz w:val="18"/>
          <w:szCs w:val="18"/>
        </w:rPr>
        <w:t xml:space="preserve">) </w:t>
      </w:r>
      <w:r w:rsidRPr="007B3DE5">
        <w:rPr>
          <w:rFonts w:asciiTheme="minorHAnsi" w:hAnsiTheme="minorHAnsi" w:cstheme="minorHAnsi"/>
          <w:sz w:val="18"/>
          <w:szCs w:val="18"/>
        </w:rPr>
        <w:t>A new set of criteria for the diagnosis of familial Mediterranean fever in childhood. Rheumatology (Oxford)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7B3DE5">
        <w:rPr>
          <w:rFonts w:asciiTheme="minorHAnsi" w:hAnsiTheme="minorHAnsi" w:cstheme="minorHAnsi"/>
          <w:sz w:val="18"/>
          <w:szCs w:val="18"/>
        </w:rPr>
        <w:t xml:space="preserve">48:395–8. </w:t>
      </w:r>
    </w:p>
    <w:p w14:paraId="62A88F17" w14:textId="51571C2F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786590B" w14:textId="772F4169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="00562D5B">
        <w:rPr>
          <w:rFonts w:ascii="Calibri"/>
          <w:sz w:val="20"/>
        </w:rPr>
        <w:t xml:space="preserve">   </w:t>
      </w:r>
      <w:r w:rsidRPr="00D62425">
        <w:rPr>
          <w:rFonts w:ascii="Calibri"/>
          <w:b/>
          <w:sz w:val="20"/>
        </w:rPr>
        <w:t>Photograph</w:t>
      </w:r>
    </w:p>
    <w:p w14:paraId="7812E63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7E8FCB1" wp14:editId="0032DF7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0E6F32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0816C97D" w14:textId="11A5C081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414C1">
        <w:rPr>
          <w:rFonts w:ascii="Arial"/>
          <w:noProof/>
          <w:color w:val="BF5A14"/>
        </w:rPr>
        <w:drawing>
          <wp:inline distT="0" distB="0" distL="0" distR="0" wp14:anchorId="7006F5AA" wp14:editId="560B689A">
            <wp:extent cx="709863" cy="709863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8-09 at 8.17.42 P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501" cy="71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14C1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r w:rsidR="003414C1">
        <w:rPr>
          <w:rFonts w:ascii="Arial"/>
          <w:color w:val="BF5A14"/>
        </w:rPr>
        <w:t>150-word</w:t>
      </w:r>
      <w:r w:rsidR="00404E5B">
        <w:rPr>
          <w:rFonts w:ascii="Arial"/>
          <w:color w:val="BF5A14"/>
        </w:rPr>
        <w:t xml:space="preserve"> limit)</w:t>
      </w:r>
      <w:r w:rsidR="00C65273">
        <w:rPr>
          <w:rFonts w:ascii="Arial"/>
          <w:color w:val="BF5A14"/>
        </w:rPr>
        <w:t xml:space="preserve"> </w:t>
      </w:r>
      <w:bookmarkStart w:id="0" w:name="_GoBack"/>
      <w:bookmarkEnd w:id="0"/>
    </w:p>
    <w:p w14:paraId="74EB62D8" w14:textId="4F66FDC7" w:rsidR="003414C1" w:rsidRDefault="003414C1" w:rsidP="003414C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Emmanuel has his background in biochemistry and is entering his third year of post-secondary education at Queen</w:t>
      </w:r>
      <w:r w:rsidR="005C3296"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University in Ontario, Canada on route to complete a BScH as well as a certificate in business. He has recently completed 4 months of full-time research in an organic chemistry lab </w:t>
      </w:r>
      <w:r w:rsidR="005C3296">
        <w:rPr>
          <w:rFonts w:ascii="Arial"/>
          <w:sz w:val="14"/>
        </w:rPr>
        <w:t xml:space="preserve">(Nickel Catalysis focused) </w:t>
      </w:r>
      <w:r>
        <w:rPr>
          <w:rFonts w:ascii="Arial"/>
          <w:sz w:val="14"/>
        </w:rPr>
        <w:t>at U of T under Sophie Rousseaux funded by NSERC Canada. Emmanuel is actively involved in many diversity initiatives when it comes to post-secondary education and the medical field. Emmanuel looks to continue to be an advocate for diversity especially when it comes to the lack of research for ethnic focused genetic diseases.</w:t>
      </w:r>
    </w:p>
    <w:p w14:paraId="7641CA54" w14:textId="77777777" w:rsidR="003414C1" w:rsidRDefault="003414C1" w:rsidP="003414C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Pr="007B3DE5">
        <w:rPr>
          <w:rFonts w:ascii="Arial"/>
          <w:sz w:val="14"/>
        </w:rPr>
        <w:t>16e</w:t>
      </w:r>
      <w:r>
        <w:rPr>
          <w:rFonts w:ascii="Arial"/>
          <w:sz w:val="14"/>
        </w:rPr>
        <w:t>oaf@queensu.ca</w:t>
      </w:r>
    </w:p>
    <w:p w14:paraId="04720698" w14:textId="316ED0AE" w:rsidR="00AE3E37" w:rsidRPr="0006730D" w:rsidRDefault="00292ED9" w:rsidP="0006730D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3F3146C" wp14:editId="5F634DE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9F80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5E84C627" w14:textId="21BED7F0" w:rsidR="00AE3E37" w:rsidRPr="0006730D" w:rsidRDefault="00A9710C" w:rsidP="0006730D">
      <w:pPr>
        <w:spacing w:before="39"/>
        <w:ind w:left="100"/>
        <w:rPr>
          <w:rFonts w:ascii="Minion Pro"/>
          <w:b/>
          <w:sz w:val="20"/>
        </w:rPr>
        <w:sectPr w:rsidR="00AE3E37" w:rsidRPr="0006730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  <w:r w:rsidR="0006730D">
        <w:rPr>
          <w:rFonts w:ascii="Minion Pro"/>
          <w:b/>
          <w:sz w:val="20"/>
        </w:rPr>
        <w:t>:</w:t>
      </w:r>
    </w:p>
    <w:p w14:paraId="26B2AC3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F3CE1" w14:textId="77777777" w:rsidR="00426CA8" w:rsidRDefault="00426CA8">
      <w:r>
        <w:separator/>
      </w:r>
    </w:p>
  </w:endnote>
  <w:endnote w:type="continuationSeparator" w:id="0">
    <w:p w14:paraId="068C08E3" w14:textId="77777777" w:rsidR="00426CA8" w:rsidRDefault="0042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76E9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A0BAA76" wp14:editId="7C97147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94D13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C2B5DC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0BAA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2494D13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C2B5DC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AF8B10F" wp14:editId="41AD5D4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555C0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AB9244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F8B10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19555C0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AB9244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2E10613" wp14:editId="7DB2DC1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A2DA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0E5CF5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E1061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36EA2DA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0E5CF5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507A9" w14:textId="77777777" w:rsidR="00426CA8" w:rsidRDefault="00426CA8">
      <w:r>
        <w:separator/>
      </w:r>
    </w:p>
  </w:footnote>
  <w:footnote w:type="continuationSeparator" w:id="0">
    <w:p w14:paraId="10E2A24D" w14:textId="77777777" w:rsidR="00426CA8" w:rsidRDefault="00426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1082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3D9455A" wp14:editId="61465C2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272B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D9455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51B272B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349D819" wp14:editId="22F41D1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EA2B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39612E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49D81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625EA2B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39612E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730D"/>
    <w:rsid w:val="000D264B"/>
    <w:rsid w:val="000D2734"/>
    <w:rsid w:val="000E2911"/>
    <w:rsid w:val="001263DF"/>
    <w:rsid w:val="001E763C"/>
    <w:rsid w:val="00292ED9"/>
    <w:rsid w:val="002D0CCE"/>
    <w:rsid w:val="002D51CC"/>
    <w:rsid w:val="00314AFB"/>
    <w:rsid w:val="003414C1"/>
    <w:rsid w:val="00344814"/>
    <w:rsid w:val="003B76D9"/>
    <w:rsid w:val="00404E5B"/>
    <w:rsid w:val="00414F7B"/>
    <w:rsid w:val="00426CA8"/>
    <w:rsid w:val="004355DC"/>
    <w:rsid w:val="004563E3"/>
    <w:rsid w:val="004749B4"/>
    <w:rsid w:val="00494130"/>
    <w:rsid w:val="004F3523"/>
    <w:rsid w:val="00562D5B"/>
    <w:rsid w:val="005973B9"/>
    <w:rsid w:val="005B3A56"/>
    <w:rsid w:val="005C3296"/>
    <w:rsid w:val="005D1615"/>
    <w:rsid w:val="006060CE"/>
    <w:rsid w:val="0063497F"/>
    <w:rsid w:val="006F4D61"/>
    <w:rsid w:val="0078738A"/>
    <w:rsid w:val="00873DF0"/>
    <w:rsid w:val="008756E6"/>
    <w:rsid w:val="008970CA"/>
    <w:rsid w:val="00977408"/>
    <w:rsid w:val="009B2D44"/>
    <w:rsid w:val="00A07E82"/>
    <w:rsid w:val="00A9710C"/>
    <w:rsid w:val="00AB3D15"/>
    <w:rsid w:val="00AD32FD"/>
    <w:rsid w:val="00AE3E37"/>
    <w:rsid w:val="00B21A57"/>
    <w:rsid w:val="00BE488D"/>
    <w:rsid w:val="00C33602"/>
    <w:rsid w:val="00C65273"/>
    <w:rsid w:val="00CD6F55"/>
    <w:rsid w:val="00D03D75"/>
    <w:rsid w:val="00D62425"/>
    <w:rsid w:val="00DE3104"/>
    <w:rsid w:val="00E66896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475F7"/>
  <w15:docId w15:val="{9DB5D36E-CF48-8241-BC5F-6E453C23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3414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Emmanuel Fagbola</cp:lastModifiedBy>
  <cp:revision>10</cp:revision>
  <dcterms:created xsi:type="dcterms:W3CDTF">2019-08-15T02:13:00Z</dcterms:created>
  <dcterms:modified xsi:type="dcterms:W3CDTF">2019-08-22T02:17:00Z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