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85" w:rsidRPr="00D74A85" w:rsidRDefault="00D74A85" w:rsidP="00D74A85">
      <w:pPr>
        <w:pStyle w:val="ad"/>
        <w:spacing w:before="0" w:beforeAutospacing="0" w:after="0" w:afterAutospacing="0"/>
        <w:ind w:firstLine="360"/>
        <w:jc w:val="center"/>
        <w:textAlignment w:val="baseline"/>
        <w:rPr>
          <w:lang w:val="en-US"/>
        </w:rPr>
      </w:pPr>
      <w:r>
        <w:rPr>
          <w:rFonts w:ascii="Georgia" w:eastAsia="Calibri" w:hAnsi="Georgia"/>
          <w:i/>
          <w:iCs/>
          <w:color w:val="5FA326"/>
          <w:sz w:val="48"/>
          <w:szCs w:val="48"/>
          <w:lang w:val="en-US"/>
        </w:rPr>
        <w:t>BLOODSTREAM INFECTION AT CHILDREN</w:t>
      </w:r>
      <w:r w:rsidRPr="00D74A85">
        <w:rPr>
          <w:rFonts w:ascii="Georgia" w:eastAsia="Calibri" w:hAnsi="Georgia"/>
          <w:i/>
          <w:iCs/>
          <w:color w:val="5FA326"/>
          <w:sz w:val="48"/>
          <w:szCs w:val="48"/>
          <w:lang w:val="en-US"/>
        </w:rPr>
        <w:t xml:space="preserve"> </w:t>
      </w:r>
      <w:r>
        <w:rPr>
          <w:rFonts w:ascii="Georgia" w:eastAsia="Calibri" w:hAnsi="Georgia"/>
          <w:i/>
          <w:iCs/>
          <w:color w:val="5FA326"/>
          <w:sz w:val="48"/>
          <w:szCs w:val="48"/>
          <w:lang w:val="en-US"/>
        </w:rPr>
        <w:t>IN BELARUS</w:t>
      </w:r>
      <w:r w:rsidRPr="00D74A85">
        <w:rPr>
          <w:rFonts w:ascii="Georgia" w:eastAsia="+mn-ea" w:hAnsi="Georgia" w:cs="Arial"/>
          <w:i/>
          <w:iCs/>
          <w:color w:val="5FA326"/>
          <w:sz w:val="48"/>
          <w:szCs w:val="48"/>
          <w:lang w:val="en-US"/>
        </w:rPr>
        <w:t xml:space="preserve"> </w:t>
      </w:r>
    </w:p>
    <w:p w:rsidR="00D74A85" w:rsidRPr="00D74A85" w:rsidRDefault="00D74A85" w:rsidP="00D74A85">
      <w:pPr>
        <w:pStyle w:val="a3"/>
        <w:rPr>
          <w:rFonts w:ascii="Arial"/>
        </w:rPr>
      </w:pPr>
      <w:r w:rsidRPr="00D74A85">
        <w:rPr>
          <w:rFonts w:ascii="Arial"/>
        </w:rPr>
        <w:t>Se</w:t>
      </w:r>
      <w:r>
        <w:rPr>
          <w:rFonts w:ascii="Arial"/>
        </w:rPr>
        <w:t>rhiyenka E.N., Romanova O.N.</w:t>
      </w:r>
    </w:p>
    <w:p w:rsidR="00D74A85" w:rsidRPr="00D74A85" w:rsidRDefault="00D74A85" w:rsidP="00D74A85">
      <w:pPr>
        <w:pStyle w:val="a3"/>
        <w:rPr>
          <w:rFonts w:ascii="Arial"/>
        </w:rPr>
      </w:pPr>
      <w:r w:rsidRPr="00D74A85">
        <w:rPr>
          <w:rFonts w:ascii="Arial"/>
        </w:rPr>
        <w:t>Department of children's infectious diseases, Belarusian state med</w:t>
      </w:r>
      <w:r>
        <w:rPr>
          <w:rFonts w:ascii="Arial"/>
        </w:rPr>
        <w:t>ical university, Minsk, Belarus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74A85" w:rsidRPr="00D74A85" w:rsidRDefault="00D74A85" w:rsidP="00D74A85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In a retro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spective study from 2009 to 201</w:t>
      </w:r>
      <w:r w:rsidRPr="00D74A85">
        <w:rPr>
          <w:rFonts w:asciiTheme="minorHAnsi" w:eastAsia="Tw Cen MT" w:hAnsiTheme="minorHAnsi" w:cs="Tw Cen MT"/>
          <w:b w:val="0"/>
          <w:bCs w:val="0"/>
          <w:sz w:val="18"/>
          <w:szCs w:val="18"/>
        </w:rPr>
        <w:t>7</w:t>
      </w:r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studied identified etiological pattern of bacteremia. Only for the period allocated 655 pathogens cultured from blood cultures 515 patients aged from 3 weeks to 18 years old.</w:t>
      </w:r>
    </w:p>
    <w:p w:rsidR="00D74A85" w:rsidRPr="00D74A85" w:rsidRDefault="00D74A85" w:rsidP="00D74A85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According to the results of the study, the proportion of gram-negative bacteria was 31.7%, gram-positive bacteria-61.9%, fungus -6.4%.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Fungemia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registered in different years from 2.2 (2013) to 14.7% (2010) of all positive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hemocultures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Candida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parapsilosis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prevails in the structure of pathogens (64.3%) and 27 cases (64.3%) of the genus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Torulopsis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Among the isolated microorganisms, staphylococci prevailed (41%), the 2nd place in the frequency of isolation was occupied by non-fermenting bacteria (16.7%), the 3rd place-bacteria of the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Enterobacteriacae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family (14.1%) and the 4th place – streptococci (10.8%). </w:t>
      </w:r>
    </w:p>
    <w:p w:rsidR="00D74A85" w:rsidRPr="00D74A85" w:rsidRDefault="00D74A85" w:rsidP="00D74A85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spectrum of gram – negative bacteria in the family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Enterobacteriacae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(n=86) is diverse: Escherichia – 10.5%, Salmonella – 5.8%,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Shigella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– 25.6%, Proteus mirabilis – 1.15%, Providencia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stuartii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– 1.15%,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Serratia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– 15.1%,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Klebsiella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– 27.9%, Enterobacter – 10.5% and others – 2 (2,3%). </w:t>
      </w:r>
    </w:p>
    <w:p w:rsidR="00D74A85" w:rsidRPr="00D74A85" w:rsidRDefault="00D74A85" w:rsidP="00D74A85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Gram-negative non-fermenting bacteria were isolated in 102 (16.7%) episodes of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bacteraemia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Among them dominated Acinetobacter – 47.1%, Pseudomonas – 20.6%,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Achromobacter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– 12.7% and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Stenotrophomonas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maltophilia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– 7.8%. </w:t>
      </w:r>
    </w:p>
    <w:p w:rsidR="00D74A85" w:rsidRPr="00D74A85" w:rsidRDefault="00D74A85" w:rsidP="00D74A85">
      <w:pPr>
        <w:pStyle w:val="3"/>
        <w:spacing w:before="74"/>
        <w:rPr>
          <w:color w:val="BF5A14"/>
        </w:rPr>
      </w:pPr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structure of gram-positive bacteria (n=404) was dominated by staphylococci (62.1%), with the most frequently isolated coagulase-negative types (84.5%). In the structure of all staphylococci (n=251), S. aureus was found with a frequency of 15.1%, the most common was S. epidermis – 63.3% of cases. Streptococci (n=66) were dominated by Str. pneumonia (27.3%) and Str.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agalacia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(19.7%) and Str.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viridans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groups (15.2%). Enterococci were isolated in 31 patients (5.1%), with almost the same frequency dominated by Enterococcus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faecalis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Enterococcus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faecium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(41.9% and 38.7%, respectively).  During the study period, 7 (1.1%) strains of Corynebacterium </w:t>
      </w:r>
      <w:proofErr w:type="spellStart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>spp</w:t>
      </w:r>
      <w:proofErr w:type="spellEnd"/>
      <w:r w:rsidRPr="00D74A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isolated.</w:t>
      </w:r>
      <w:r w:rsidR="00A9710C">
        <w:rPr>
          <w:b w:val="0"/>
        </w:rPr>
        <w:br w:type="column"/>
      </w:r>
      <w:r w:rsidRPr="00D74A85">
        <w:rPr>
          <w:color w:val="BF5A14"/>
        </w:rPr>
        <w:lastRenderedPageBreak/>
        <w:t xml:space="preserve">Structure of bloodstream </w:t>
      </w:r>
    </w:p>
    <w:p w:rsidR="00AE3E37" w:rsidRDefault="00D74A85" w:rsidP="00D74A85">
      <w:pPr>
        <w:pStyle w:val="3"/>
        <w:spacing w:before="74"/>
      </w:pPr>
      <w:proofErr w:type="gramStart"/>
      <w:r w:rsidRPr="00D74A85">
        <w:rPr>
          <w:color w:val="BF5A14"/>
        </w:rPr>
        <w:t>infections</w:t>
      </w:r>
      <w:proofErr w:type="gramEnd"/>
      <w:r w:rsidRPr="00D74A85">
        <w:rPr>
          <w:color w:val="BF5A14"/>
        </w:rPr>
        <w:t xml:space="preserve"> in CIDH, 2009-2017</w:t>
      </w:r>
    </w:p>
    <w:p w:rsidR="00AE3E37" w:rsidRDefault="00D74A85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ru-RU" w:eastAsia="ru-RU"/>
        </w:rPr>
        <w:drawing>
          <wp:inline distT="0" distB="0" distL="0" distR="0" wp14:anchorId="7A245CAB">
            <wp:extent cx="3405554" cy="21101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963" cy="2109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D74A85" w:rsidRPr="00D74A85" w:rsidRDefault="00D74A85" w:rsidP="00D74A85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D74A85">
        <w:rPr>
          <w:sz w:val="18"/>
        </w:rPr>
        <w:t>Deen</w:t>
      </w:r>
      <w:proofErr w:type="spellEnd"/>
      <w:r w:rsidRPr="00D74A85">
        <w:rPr>
          <w:sz w:val="18"/>
        </w:rPr>
        <w:t xml:space="preserve"> J, </w:t>
      </w:r>
      <w:proofErr w:type="spellStart"/>
      <w:r w:rsidRPr="00D74A85">
        <w:rPr>
          <w:sz w:val="18"/>
        </w:rPr>
        <w:t>Seidlein</w:t>
      </w:r>
      <w:proofErr w:type="spellEnd"/>
      <w:r w:rsidRPr="00D74A85">
        <w:rPr>
          <w:sz w:val="18"/>
        </w:rPr>
        <w:t xml:space="preserve"> L, Andersen F, et al. (2012). Community-acquired bacterial blood stream infections in developing countries in south and Southeast Asia: a systematic review. Lancet infectious diseases. 12, 480-487.</w:t>
      </w:r>
    </w:p>
    <w:p w:rsidR="00D74A85" w:rsidRPr="00D74A85" w:rsidRDefault="00D74A85" w:rsidP="00D74A85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74A85">
        <w:rPr>
          <w:sz w:val="18"/>
        </w:rPr>
        <w:t xml:space="preserve">Bhandari P, </w:t>
      </w:r>
      <w:proofErr w:type="spellStart"/>
      <w:r w:rsidRPr="00D74A85">
        <w:rPr>
          <w:sz w:val="18"/>
        </w:rPr>
        <w:t>Manandhar</w:t>
      </w:r>
      <w:proofErr w:type="spellEnd"/>
      <w:r w:rsidRPr="00D74A85">
        <w:rPr>
          <w:sz w:val="18"/>
        </w:rPr>
        <w:t xml:space="preserve"> S, Shrestha B, </w:t>
      </w:r>
      <w:proofErr w:type="spellStart"/>
      <w:r w:rsidRPr="00D74A85">
        <w:rPr>
          <w:sz w:val="18"/>
        </w:rPr>
        <w:t>Dulal</w:t>
      </w:r>
      <w:proofErr w:type="spellEnd"/>
      <w:r w:rsidRPr="00D74A85">
        <w:rPr>
          <w:sz w:val="18"/>
        </w:rPr>
        <w:t xml:space="preserve"> N. (2016). Etiology of bloodstream infection and antibiotic susceptibility pattern of the isolates. Asian journal of medical sciences. 7(2), 71-75.  </w:t>
      </w:r>
    </w:p>
    <w:p w:rsidR="00D74A85" w:rsidRPr="00D74A85" w:rsidRDefault="00D74A85" w:rsidP="00D74A85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D74A85">
        <w:rPr>
          <w:sz w:val="18"/>
        </w:rPr>
        <w:t>Tufail</w:t>
      </w:r>
      <w:proofErr w:type="spellEnd"/>
      <w:r w:rsidRPr="00D74A85">
        <w:rPr>
          <w:sz w:val="18"/>
        </w:rPr>
        <w:t xml:space="preserve"> S, </w:t>
      </w:r>
      <w:proofErr w:type="spellStart"/>
      <w:r w:rsidRPr="00D74A85">
        <w:rPr>
          <w:sz w:val="18"/>
        </w:rPr>
        <w:t>Tikmani</w:t>
      </w:r>
      <w:proofErr w:type="spellEnd"/>
      <w:r w:rsidRPr="00D74A85">
        <w:rPr>
          <w:sz w:val="18"/>
        </w:rPr>
        <w:t xml:space="preserve"> S, Ali A, et al. (2016). Frequency and etiology of community-acquired bloodstream infection in hospitalized febrile children. Journal of medical diagnostic methods. 5(3), doi.org/10.4172/2168-9784.1000217.</w:t>
      </w:r>
    </w:p>
    <w:p w:rsidR="00D74A85" w:rsidRPr="00D74A85" w:rsidRDefault="00D74A85" w:rsidP="00D74A85">
      <w:pPr>
        <w:pStyle w:val="a5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74A85">
        <w:rPr>
          <w:sz w:val="18"/>
        </w:rPr>
        <w:t>Kaur A, Singh V. (2014). Bacterial isolates and their antibiotic sensitivity pattern in clinically suspected case of fever of unknown origin. Science. 16, 105–109.</w:t>
      </w:r>
    </w:p>
    <w:p w:rsidR="00D74A85" w:rsidRPr="00D74A85" w:rsidRDefault="00D74A85" w:rsidP="00D74A85">
      <w:pPr>
        <w:pStyle w:val="a5"/>
        <w:numPr>
          <w:ilvl w:val="0"/>
          <w:numId w:val="4"/>
        </w:numPr>
        <w:rPr>
          <w:sz w:val="18"/>
        </w:rPr>
      </w:pPr>
      <w:proofErr w:type="spellStart"/>
      <w:r w:rsidRPr="00D74A85">
        <w:rPr>
          <w:sz w:val="18"/>
        </w:rPr>
        <w:t>Laupland</w:t>
      </w:r>
      <w:proofErr w:type="spellEnd"/>
      <w:r w:rsidRPr="00D74A85">
        <w:rPr>
          <w:sz w:val="18"/>
        </w:rPr>
        <w:t xml:space="preserve"> KB, Church DL. (2014). Population-based epidemiology and microbiology community-onset bloodstream infections. Clinical microbiology reviews. 27(4), 647–664. </w:t>
      </w:r>
    </w:p>
    <w:p w:rsidR="00D74A85" w:rsidRPr="00D74A85" w:rsidRDefault="00D74A85" w:rsidP="00D74A85">
      <w:pPr>
        <w:tabs>
          <w:tab w:val="left" w:pos="384"/>
        </w:tabs>
        <w:ind w:left="360" w:right="117"/>
        <w:rPr>
          <w:rFonts w:asciiTheme="minorHAnsi" w:hAnsiTheme="minorHAnsi"/>
          <w:sz w:val="18"/>
          <w:lang w:val="ru-RU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 w:rsidR="00F61307" w:rsidRPr="00F61307">
        <w:rPr>
          <w:rFonts w:ascii="Arial"/>
          <w:sz w:val="14"/>
        </w:rPr>
        <w:t xml:space="preserve">Serhiyenka works at the Department of Children's Infectious Diseases from September 1, 2009 to the present. K. Serhiyenka has excelled throughout his career with many notable accomplishments. During this time, </w:t>
      </w:r>
      <w:proofErr w:type="spellStart"/>
      <w:r w:rsidR="00F61307" w:rsidRPr="00F61307">
        <w:rPr>
          <w:rFonts w:ascii="Arial"/>
          <w:sz w:val="14"/>
        </w:rPr>
        <w:t>Katsiaryna</w:t>
      </w:r>
      <w:proofErr w:type="spellEnd"/>
      <w:r w:rsidR="00F61307" w:rsidRPr="00F61307">
        <w:rPr>
          <w:rFonts w:ascii="Arial"/>
          <w:sz w:val="14"/>
        </w:rPr>
        <w:t xml:space="preserve"> Serhiyenka graduated from clinical residency at the department, she is actively engaged in clinical, practical and scientific work and she successfully defended her dissertation in 2013.</w:t>
      </w:r>
      <w:r w:rsidR="00F61307" w:rsidRPr="00F61307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61307" w:rsidRPr="00F61307">
        <w:rPr>
          <w:rFonts w:ascii="Arial"/>
          <w:sz w:val="14"/>
        </w:rPr>
        <w:t>The sphere of her professional interests is wide - this includes acute respiratory infections, herpetic infections, HIV infection, vaccine preventive maintenance of infectious diseases,</w:t>
      </w:r>
      <w:r w:rsidR="00F61307">
        <w:rPr>
          <w:rFonts w:ascii="Arial"/>
          <w:sz w:val="14"/>
        </w:rPr>
        <w:t xml:space="preserve"> sepsis,</w:t>
      </w:r>
      <w:r w:rsidR="00F61307" w:rsidRPr="00F61307">
        <w:rPr>
          <w:rFonts w:ascii="Arial"/>
          <w:sz w:val="14"/>
        </w:rPr>
        <w:t xml:space="preserve"> etc.</w:t>
      </w:r>
    </w:p>
    <w:p w:rsidR="00AE3E37" w:rsidRPr="00D74A85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74A85" w:rsidRPr="001E5719">
          <w:rPr>
            <w:rStyle w:val="ac"/>
            <w:rFonts w:ascii="Arial" w:hAnsi="Arial" w:cs="Arial"/>
            <w:sz w:val="14"/>
          </w:rPr>
          <w:t>Serhiyenka@yandex.com</w:t>
        </w:r>
      </w:hyperlink>
      <w:r w:rsidR="00D74A85" w:rsidRPr="001E5719">
        <w:rPr>
          <w:rFonts w:ascii="Arial" w:hAnsi="Arial" w:cs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BD2" w:rsidRDefault="00821BD2">
      <w:r>
        <w:separator/>
      </w:r>
    </w:p>
  </w:endnote>
  <w:endnote w:type="continuationSeparator" w:id="0">
    <w:p w:rsidR="00821BD2" w:rsidRDefault="0082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BD2" w:rsidRDefault="00821BD2">
      <w:r>
        <w:separator/>
      </w:r>
    </w:p>
  </w:footnote>
  <w:footnote w:type="continuationSeparator" w:id="0">
    <w:p w:rsidR="00821BD2" w:rsidRDefault="00821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5EA5923"/>
    <w:multiLevelType w:val="hybridMultilevel"/>
    <w:tmpl w:val="90D22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5719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2E31"/>
    <w:rsid w:val="006060CE"/>
    <w:rsid w:val="0063497F"/>
    <w:rsid w:val="0078738A"/>
    <w:rsid w:val="00821BD2"/>
    <w:rsid w:val="00873DF0"/>
    <w:rsid w:val="008756E6"/>
    <w:rsid w:val="009B2D44"/>
    <w:rsid w:val="00A07E82"/>
    <w:rsid w:val="00A23C03"/>
    <w:rsid w:val="00A9710C"/>
    <w:rsid w:val="00AE3E37"/>
    <w:rsid w:val="00B21A57"/>
    <w:rsid w:val="00C33602"/>
    <w:rsid w:val="00CD6F55"/>
    <w:rsid w:val="00D62425"/>
    <w:rsid w:val="00D74A85"/>
    <w:rsid w:val="00DE3104"/>
    <w:rsid w:val="00F6130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D74A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D74A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erhiyenka@yandex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RePack by Diakov</cp:lastModifiedBy>
  <cp:revision>4</cp:revision>
  <dcterms:created xsi:type="dcterms:W3CDTF">2019-05-31T17:25:00Z</dcterms:created>
  <dcterms:modified xsi:type="dcterms:W3CDTF">2019-05-31T17:29:00Z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