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42B" w:rsidRPr="00950391" w:rsidRDefault="0045642B" w:rsidP="00950391">
      <w:pPr>
        <w:jc w:val="both"/>
        <w:rPr>
          <w:b/>
          <w:bCs/>
          <w:sz w:val="28"/>
          <w:szCs w:val="28"/>
        </w:rPr>
      </w:pPr>
      <w:r w:rsidRPr="009E3DB7">
        <w:rPr>
          <w:rFonts w:cstheme="majorBidi"/>
          <w:b/>
          <w:bCs/>
          <w:sz w:val="24"/>
          <w:szCs w:val="24"/>
          <w:u w:val="single"/>
        </w:rPr>
        <w:t>Abstract</w:t>
      </w:r>
      <w:r w:rsidR="009E3DB7">
        <w:rPr>
          <w:rFonts w:cstheme="majorBidi"/>
          <w:b/>
          <w:bCs/>
          <w:sz w:val="24"/>
          <w:szCs w:val="24"/>
          <w:u w:val="single"/>
        </w:rPr>
        <w:t xml:space="preserve"> </w:t>
      </w:r>
      <w:r w:rsidR="009E3DB7" w:rsidRPr="009E3DB7">
        <w:rPr>
          <w:rFonts w:cstheme="majorBidi"/>
          <w:b/>
          <w:bCs/>
          <w:sz w:val="24"/>
          <w:szCs w:val="24"/>
          <w:u w:val="single"/>
        </w:rPr>
        <w:t>Title</w:t>
      </w:r>
      <w:r w:rsidR="009E3DB7" w:rsidRPr="009E3DB7">
        <w:rPr>
          <w:rFonts w:cstheme="majorBidi"/>
          <w:b/>
          <w:bCs/>
          <w:sz w:val="24"/>
          <w:szCs w:val="24"/>
        </w:rPr>
        <w:t xml:space="preserve">: </w:t>
      </w:r>
      <w:r w:rsidR="009E3DB7" w:rsidRPr="00950391">
        <w:rPr>
          <w:b/>
          <w:bCs/>
          <w:sz w:val="28"/>
          <w:szCs w:val="28"/>
        </w:rPr>
        <w:t>{Efficacy of Letrozole (LE) Combined with Cabergoline (CE) in Comparison to LE alone in ovulation induction among patients with Polycystic Ovarian Syndrome (PCOS) and Hyperprolactinemia (HP)}.</w:t>
      </w:r>
    </w:p>
    <w:p w:rsidR="00950391" w:rsidRPr="00950391" w:rsidRDefault="00950391" w:rsidP="00950391">
      <w:pPr>
        <w:rPr>
          <w:rFonts w:asciiTheme="majorBidi" w:hAnsiTheme="majorBidi" w:cstheme="majorBidi"/>
          <w:b/>
          <w:bCs/>
          <w:i/>
          <w:iCs/>
          <w:sz w:val="24"/>
          <w:szCs w:val="24"/>
        </w:rPr>
      </w:pPr>
      <w:r w:rsidRPr="00950391">
        <w:rPr>
          <w:rFonts w:asciiTheme="majorBidi" w:hAnsiTheme="majorBidi" w:cstheme="majorBidi"/>
          <w:b/>
          <w:bCs/>
          <w:i/>
          <w:iCs/>
          <w:sz w:val="24"/>
          <w:szCs w:val="24"/>
        </w:rPr>
        <w:t>Associate Clinical Professor Dr Aisha Elbareg, MD,PhD.</w:t>
      </w:r>
    </w:p>
    <w:p w:rsidR="00950391" w:rsidRPr="00950391" w:rsidRDefault="00950391" w:rsidP="00950391">
      <w:pPr>
        <w:jc w:val="both"/>
        <w:rPr>
          <w:rFonts w:asciiTheme="majorBidi" w:hAnsiTheme="majorBidi" w:cstheme="majorBidi"/>
          <w:b/>
          <w:bCs/>
          <w:i/>
          <w:iCs/>
          <w:sz w:val="24"/>
          <w:szCs w:val="24"/>
        </w:rPr>
      </w:pPr>
      <w:r w:rsidRPr="00950391">
        <w:rPr>
          <w:rFonts w:asciiTheme="majorBidi" w:hAnsiTheme="majorBidi" w:cstheme="majorBidi"/>
          <w:b/>
          <w:bCs/>
          <w:i/>
          <w:iCs/>
          <w:sz w:val="24"/>
          <w:szCs w:val="24"/>
        </w:rPr>
        <w:t>Obstetrics &amp; Gynecology Dept. Faculty of Medicine, Misurata University, Libya</w:t>
      </w:r>
    </w:p>
    <w:p w:rsidR="0045642B" w:rsidRPr="00F6344F" w:rsidRDefault="00494D1A" w:rsidP="006541D8">
      <w:pPr>
        <w:jc w:val="both"/>
        <w:rPr>
          <w:rFonts w:cstheme="majorBidi"/>
          <w:sz w:val="24"/>
          <w:szCs w:val="24"/>
        </w:rPr>
      </w:pPr>
      <w:r>
        <w:rPr>
          <w:rFonts w:cstheme="majorBidi"/>
          <w:b/>
          <w:bCs/>
          <w:sz w:val="24"/>
          <w:szCs w:val="24"/>
          <w:u w:val="single"/>
        </w:rPr>
        <w:t xml:space="preserve">BACKGROUNDS &amp; </w:t>
      </w:r>
      <w:r w:rsidR="0045642B" w:rsidRPr="0045642B">
        <w:rPr>
          <w:rFonts w:cstheme="majorBidi"/>
          <w:b/>
          <w:bCs/>
          <w:sz w:val="24"/>
          <w:szCs w:val="24"/>
          <w:u w:val="single"/>
        </w:rPr>
        <w:t>OBJECTIVE</w:t>
      </w:r>
      <w:r>
        <w:rPr>
          <w:rFonts w:cstheme="majorBidi"/>
          <w:b/>
          <w:bCs/>
          <w:sz w:val="24"/>
          <w:szCs w:val="24"/>
          <w:u w:val="single"/>
        </w:rPr>
        <w:t>S</w:t>
      </w:r>
      <w:r w:rsidR="0045642B" w:rsidRPr="0045642B">
        <w:rPr>
          <w:rFonts w:cstheme="majorBidi"/>
          <w:b/>
          <w:bCs/>
          <w:sz w:val="24"/>
          <w:szCs w:val="24"/>
          <w:u w:val="single"/>
        </w:rPr>
        <w:t>:</w:t>
      </w:r>
      <w:r w:rsidR="007419C4">
        <w:rPr>
          <w:rFonts w:cstheme="majorBidi"/>
          <w:sz w:val="24"/>
          <w:szCs w:val="24"/>
        </w:rPr>
        <w:t xml:space="preserve"> </w:t>
      </w:r>
      <w:r w:rsidR="00EC6F77">
        <w:rPr>
          <w:rFonts w:cstheme="majorBidi"/>
          <w:sz w:val="24"/>
          <w:szCs w:val="24"/>
        </w:rPr>
        <w:t xml:space="preserve"> </w:t>
      </w:r>
      <w:r w:rsidR="00A44250">
        <w:rPr>
          <w:rFonts w:cstheme="majorBidi"/>
          <w:sz w:val="24"/>
          <w:szCs w:val="24"/>
        </w:rPr>
        <w:t xml:space="preserve">PCOS </w:t>
      </w:r>
      <w:r w:rsidR="007419C4">
        <w:rPr>
          <w:rFonts w:cstheme="majorBidi"/>
          <w:sz w:val="24"/>
          <w:szCs w:val="24"/>
        </w:rPr>
        <w:t xml:space="preserve">is the most common cause of anovulatory infertility. </w:t>
      </w:r>
      <w:r w:rsidR="006541D8">
        <w:rPr>
          <w:rFonts w:cstheme="majorBidi"/>
          <w:sz w:val="24"/>
          <w:szCs w:val="24"/>
        </w:rPr>
        <w:t xml:space="preserve">Up to 64% of women with mild </w:t>
      </w:r>
      <w:r w:rsidR="0064632D">
        <w:rPr>
          <w:rFonts w:cstheme="majorBidi"/>
          <w:sz w:val="24"/>
          <w:szCs w:val="24"/>
        </w:rPr>
        <w:t xml:space="preserve">HP </w:t>
      </w:r>
      <w:r w:rsidR="00950391">
        <w:rPr>
          <w:rFonts w:cstheme="majorBidi"/>
          <w:sz w:val="24"/>
          <w:szCs w:val="24"/>
        </w:rPr>
        <w:t>fulfill</w:t>
      </w:r>
      <w:r w:rsidR="00F75268">
        <w:rPr>
          <w:rFonts w:cstheme="majorBidi"/>
          <w:sz w:val="24"/>
          <w:szCs w:val="24"/>
        </w:rPr>
        <w:t xml:space="preserve"> modified Rotterda</w:t>
      </w:r>
      <w:r w:rsidR="00A44250">
        <w:rPr>
          <w:rFonts w:cstheme="majorBidi"/>
          <w:sz w:val="24"/>
          <w:szCs w:val="24"/>
        </w:rPr>
        <w:t xml:space="preserve">m diagnostic criteria for PCOS. </w:t>
      </w:r>
      <w:r w:rsidR="00EC6F77">
        <w:rPr>
          <w:rFonts w:cstheme="majorBidi"/>
          <w:sz w:val="24"/>
          <w:szCs w:val="24"/>
        </w:rPr>
        <w:t>HP</w:t>
      </w:r>
      <w:r w:rsidR="00950391">
        <w:rPr>
          <w:rFonts w:cstheme="majorBidi"/>
          <w:sz w:val="24"/>
          <w:szCs w:val="24"/>
        </w:rPr>
        <w:t xml:space="preserve"> </w:t>
      </w:r>
      <w:r w:rsidR="00062837">
        <w:rPr>
          <w:rFonts w:cstheme="majorBidi"/>
          <w:sz w:val="24"/>
          <w:szCs w:val="24"/>
        </w:rPr>
        <w:t xml:space="preserve">affects hypothalamic-pituitary-ovarian </w:t>
      </w:r>
      <w:r w:rsidR="007419C4">
        <w:rPr>
          <w:rFonts w:cstheme="majorBidi"/>
          <w:sz w:val="24"/>
          <w:szCs w:val="24"/>
        </w:rPr>
        <w:t xml:space="preserve">axis causing anovulation. </w:t>
      </w:r>
      <w:r w:rsidR="0064632D">
        <w:rPr>
          <w:rFonts w:cstheme="majorBidi"/>
          <w:sz w:val="24"/>
          <w:szCs w:val="24"/>
        </w:rPr>
        <w:t>CE</w:t>
      </w:r>
      <w:r w:rsidR="007419C4">
        <w:rPr>
          <w:rFonts w:cstheme="majorBidi"/>
          <w:sz w:val="24"/>
          <w:szCs w:val="24"/>
        </w:rPr>
        <w:t>, a dopamine receptor agonist</w:t>
      </w:r>
      <w:r w:rsidR="00062837">
        <w:rPr>
          <w:rFonts w:cstheme="majorBidi"/>
          <w:sz w:val="24"/>
          <w:szCs w:val="24"/>
        </w:rPr>
        <w:t>,</w:t>
      </w:r>
      <w:r w:rsidR="007419C4">
        <w:rPr>
          <w:rFonts w:cstheme="majorBidi"/>
          <w:sz w:val="24"/>
          <w:szCs w:val="24"/>
        </w:rPr>
        <w:t xml:space="preserve"> inhibits prolactin secretion and can lead to bet</w:t>
      </w:r>
      <w:r w:rsidR="0064632D">
        <w:rPr>
          <w:rFonts w:cstheme="majorBidi"/>
          <w:sz w:val="24"/>
          <w:szCs w:val="24"/>
        </w:rPr>
        <w:t xml:space="preserve">ter ovulatory response </w:t>
      </w:r>
      <w:r w:rsidR="007419C4">
        <w:rPr>
          <w:rFonts w:cstheme="majorBidi"/>
          <w:sz w:val="24"/>
          <w:szCs w:val="24"/>
        </w:rPr>
        <w:t>in those patients</w:t>
      </w:r>
      <w:r w:rsidR="00A55BAA">
        <w:rPr>
          <w:rFonts w:cstheme="majorBidi"/>
          <w:sz w:val="24"/>
          <w:szCs w:val="24"/>
        </w:rPr>
        <w:t>.</w:t>
      </w:r>
      <w:r w:rsidR="007419C4">
        <w:rPr>
          <w:rFonts w:cstheme="majorBidi"/>
          <w:sz w:val="24"/>
          <w:szCs w:val="24"/>
        </w:rPr>
        <w:t xml:space="preserve"> </w:t>
      </w:r>
      <w:r w:rsidR="0064632D">
        <w:rPr>
          <w:rFonts w:cstheme="majorBidi"/>
          <w:sz w:val="24"/>
          <w:szCs w:val="24"/>
        </w:rPr>
        <w:t>LE</w:t>
      </w:r>
      <w:r w:rsidR="00A55BAA">
        <w:rPr>
          <w:rFonts w:cstheme="majorBidi"/>
          <w:sz w:val="24"/>
          <w:szCs w:val="24"/>
        </w:rPr>
        <w:t xml:space="preserve">, an aromatase inhibitor, </w:t>
      </w:r>
      <w:r w:rsidR="00AD38A0">
        <w:rPr>
          <w:rFonts w:cstheme="majorBidi"/>
          <w:sz w:val="24"/>
          <w:szCs w:val="24"/>
        </w:rPr>
        <w:t>without</w:t>
      </w:r>
      <w:r w:rsidR="00A55BAA">
        <w:rPr>
          <w:rFonts w:cstheme="majorBidi"/>
          <w:sz w:val="24"/>
          <w:szCs w:val="24"/>
        </w:rPr>
        <w:t xml:space="preserve"> adverse effects on</w:t>
      </w:r>
      <w:r w:rsidR="00062837">
        <w:rPr>
          <w:rFonts w:cstheme="majorBidi"/>
          <w:sz w:val="24"/>
          <w:szCs w:val="24"/>
        </w:rPr>
        <w:t xml:space="preserve"> </w:t>
      </w:r>
      <w:r w:rsidR="00A55BAA">
        <w:rPr>
          <w:rFonts w:cstheme="majorBidi"/>
          <w:sz w:val="24"/>
          <w:szCs w:val="24"/>
        </w:rPr>
        <w:t xml:space="preserve">endometrium </w:t>
      </w:r>
      <w:r w:rsidR="00A44250">
        <w:rPr>
          <w:rFonts w:cstheme="majorBidi"/>
          <w:sz w:val="24"/>
          <w:szCs w:val="24"/>
        </w:rPr>
        <w:t>&amp;</w:t>
      </w:r>
      <w:r w:rsidR="00A55BAA">
        <w:rPr>
          <w:rFonts w:cstheme="majorBidi"/>
          <w:sz w:val="24"/>
          <w:szCs w:val="24"/>
        </w:rPr>
        <w:t xml:space="preserve"> induces fewer mature follicles with less risk of OHSS</w:t>
      </w:r>
      <w:r w:rsidR="00F75268">
        <w:rPr>
          <w:rFonts w:cstheme="majorBidi"/>
          <w:sz w:val="24"/>
          <w:szCs w:val="24"/>
        </w:rPr>
        <w:t xml:space="preserve">. </w:t>
      </w:r>
      <w:r w:rsidR="00EC6F77">
        <w:rPr>
          <w:rFonts w:cstheme="majorBidi"/>
          <w:sz w:val="24"/>
          <w:szCs w:val="24"/>
        </w:rPr>
        <w:t>O</w:t>
      </w:r>
      <w:r w:rsidR="00F75268">
        <w:rPr>
          <w:rFonts w:cstheme="majorBidi"/>
          <w:sz w:val="24"/>
          <w:szCs w:val="24"/>
        </w:rPr>
        <w:t xml:space="preserve">ur study </w:t>
      </w:r>
      <w:r w:rsidR="00EC6F77">
        <w:rPr>
          <w:rFonts w:cstheme="majorBidi"/>
          <w:sz w:val="24"/>
          <w:szCs w:val="24"/>
        </w:rPr>
        <w:t>aim was to investigate</w:t>
      </w:r>
      <w:r w:rsidR="00F75268">
        <w:rPr>
          <w:rFonts w:cstheme="majorBidi"/>
          <w:sz w:val="24"/>
          <w:szCs w:val="24"/>
        </w:rPr>
        <w:t xml:space="preserve"> effects of combined </w:t>
      </w:r>
      <w:r w:rsidR="0064632D">
        <w:rPr>
          <w:rFonts w:cstheme="majorBidi"/>
          <w:sz w:val="24"/>
          <w:szCs w:val="24"/>
        </w:rPr>
        <w:t>LE</w:t>
      </w:r>
      <w:r w:rsidR="00F75268">
        <w:rPr>
          <w:rFonts w:cstheme="majorBidi"/>
          <w:sz w:val="24"/>
          <w:szCs w:val="24"/>
        </w:rPr>
        <w:t xml:space="preserve"> and </w:t>
      </w:r>
      <w:r w:rsidR="0064632D">
        <w:rPr>
          <w:rFonts w:cstheme="majorBidi"/>
          <w:sz w:val="24"/>
          <w:szCs w:val="24"/>
        </w:rPr>
        <w:t>CE</w:t>
      </w:r>
      <w:r w:rsidR="00F75268">
        <w:rPr>
          <w:rFonts w:cstheme="majorBidi"/>
          <w:sz w:val="24"/>
          <w:szCs w:val="24"/>
        </w:rPr>
        <w:t xml:space="preserve"> </w:t>
      </w:r>
      <w:r w:rsidR="0064632D">
        <w:rPr>
          <w:rFonts w:cstheme="majorBidi"/>
          <w:sz w:val="24"/>
          <w:szCs w:val="24"/>
        </w:rPr>
        <w:t>in comparison to</w:t>
      </w:r>
      <w:r w:rsidR="00EC6F77">
        <w:rPr>
          <w:rFonts w:cstheme="majorBidi"/>
          <w:sz w:val="24"/>
          <w:szCs w:val="24"/>
        </w:rPr>
        <w:t xml:space="preserve"> </w:t>
      </w:r>
      <w:r w:rsidR="0064632D">
        <w:rPr>
          <w:rFonts w:cstheme="majorBidi"/>
          <w:sz w:val="24"/>
          <w:szCs w:val="24"/>
        </w:rPr>
        <w:t>LE</w:t>
      </w:r>
      <w:r w:rsidR="00EC6F77">
        <w:rPr>
          <w:rFonts w:cstheme="majorBidi"/>
          <w:sz w:val="24"/>
          <w:szCs w:val="24"/>
        </w:rPr>
        <w:t xml:space="preserve"> alone </w:t>
      </w:r>
      <w:r w:rsidR="00F75268">
        <w:rPr>
          <w:rFonts w:cstheme="majorBidi"/>
          <w:sz w:val="24"/>
          <w:szCs w:val="24"/>
        </w:rPr>
        <w:t>on ovulatio</w:t>
      </w:r>
      <w:r w:rsidR="0064632D">
        <w:rPr>
          <w:rFonts w:cstheme="majorBidi"/>
          <w:sz w:val="24"/>
          <w:szCs w:val="24"/>
        </w:rPr>
        <w:t>n &amp; clinical pregnancy rates in</w:t>
      </w:r>
      <w:r w:rsidR="00EC6F77">
        <w:rPr>
          <w:rFonts w:cstheme="majorBidi"/>
          <w:sz w:val="24"/>
          <w:szCs w:val="24"/>
        </w:rPr>
        <w:t xml:space="preserve"> PCOS patients with HP.</w:t>
      </w:r>
    </w:p>
    <w:p w:rsidR="0045642B" w:rsidRPr="00FE47EC" w:rsidRDefault="0045642B" w:rsidP="00FE47EC">
      <w:pPr>
        <w:jc w:val="both"/>
        <w:rPr>
          <w:rFonts w:cstheme="majorBidi"/>
          <w:sz w:val="24"/>
          <w:szCs w:val="24"/>
        </w:rPr>
      </w:pPr>
      <w:r w:rsidRPr="0045642B">
        <w:rPr>
          <w:rFonts w:cstheme="majorBidi"/>
          <w:b/>
          <w:bCs/>
          <w:sz w:val="24"/>
          <w:szCs w:val="24"/>
          <w:u w:val="single"/>
        </w:rPr>
        <w:t>METHODS:</w:t>
      </w:r>
      <w:r w:rsidR="00F6344F">
        <w:rPr>
          <w:rFonts w:cstheme="majorBidi"/>
          <w:sz w:val="24"/>
          <w:szCs w:val="24"/>
        </w:rPr>
        <w:t xml:space="preserve"> A total</w:t>
      </w:r>
      <w:r w:rsidR="00FF2A09">
        <w:rPr>
          <w:rFonts w:cstheme="majorBidi"/>
          <w:sz w:val="24"/>
          <w:szCs w:val="24"/>
        </w:rPr>
        <w:t xml:space="preserve"> of one eighty women with PCOS were enrolled in a hospital based clinical trial and randomly allocated into two groups</w:t>
      </w:r>
      <w:r w:rsidR="005A420A">
        <w:rPr>
          <w:rFonts w:cstheme="majorBidi"/>
          <w:sz w:val="24"/>
          <w:szCs w:val="24"/>
        </w:rPr>
        <w:t xml:space="preserve"> </w:t>
      </w:r>
      <w:r w:rsidR="00FF2A09">
        <w:rPr>
          <w:rFonts w:cstheme="majorBidi"/>
          <w:sz w:val="24"/>
          <w:szCs w:val="24"/>
        </w:rPr>
        <w:t>(</w:t>
      </w:r>
      <w:r w:rsidR="00FF2A09" w:rsidRPr="00FF2A09">
        <w:rPr>
          <w:rFonts w:cstheme="majorBidi"/>
          <w:b/>
          <w:bCs/>
          <w:sz w:val="24"/>
          <w:szCs w:val="24"/>
        </w:rPr>
        <w:t>A</w:t>
      </w:r>
      <w:r w:rsidR="00FF2A09">
        <w:rPr>
          <w:rFonts w:cstheme="majorBidi"/>
          <w:sz w:val="24"/>
          <w:szCs w:val="24"/>
        </w:rPr>
        <w:t>&amp;</w:t>
      </w:r>
      <w:r w:rsidR="00FF2A09" w:rsidRPr="00FF2A09">
        <w:rPr>
          <w:rFonts w:cstheme="majorBidi"/>
          <w:b/>
          <w:bCs/>
          <w:sz w:val="24"/>
          <w:szCs w:val="24"/>
        </w:rPr>
        <w:t>B</w:t>
      </w:r>
      <w:r w:rsidR="00FF2A09">
        <w:rPr>
          <w:rFonts w:cstheme="majorBidi"/>
          <w:sz w:val="24"/>
          <w:szCs w:val="24"/>
        </w:rPr>
        <w:t xml:space="preserve">). </w:t>
      </w:r>
      <w:r w:rsidR="005A420A">
        <w:rPr>
          <w:rFonts w:cstheme="majorBidi"/>
          <w:sz w:val="24"/>
          <w:szCs w:val="24"/>
        </w:rPr>
        <w:t>Participants of 22-38 years old</w:t>
      </w:r>
      <w:r w:rsidR="008E5F06">
        <w:rPr>
          <w:rFonts w:cstheme="majorBidi"/>
          <w:sz w:val="24"/>
          <w:szCs w:val="24"/>
        </w:rPr>
        <w:t xml:space="preserve"> and a</w:t>
      </w:r>
      <w:r w:rsidR="00FF2A09">
        <w:rPr>
          <w:rFonts w:cstheme="majorBidi"/>
          <w:sz w:val="24"/>
          <w:szCs w:val="24"/>
        </w:rPr>
        <w:t xml:space="preserve">ll were with a serum prolactin </w:t>
      </w:r>
      <w:r w:rsidR="00FF2A09" w:rsidRPr="00FF2A09">
        <w:rPr>
          <w:rFonts w:cstheme="majorBidi"/>
          <w:b/>
          <w:bCs/>
          <w:sz w:val="24"/>
          <w:szCs w:val="24"/>
        </w:rPr>
        <w:t>&gt;</w:t>
      </w:r>
      <w:r w:rsidR="00FF2A09">
        <w:rPr>
          <w:rFonts w:cstheme="majorBidi"/>
          <w:sz w:val="24"/>
          <w:szCs w:val="24"/>
        </w:rPr>
        <w:t xml:space="preserve"> 32 ng/ml. Patients in </w:t>
      </w:r>
      <w:r w:rsidR="00FF2A09" w:rsidRPr="00FF2A09">
        <w:rPr>
          <w:rFonts w:cstheme="majorBidi"/>
          <w:b/>
          <w:bCs/>
          <w:sz w:val="24"/>
          <w:szCs w:val="24"/>
        </w:rPr>
        <w:t>A</w:t>
      </w:r>
      <w:r w:rsidR="00FF2A09">
        <w:rPr>
          <w:rFonts w:cstheme="majorBidi"/>
          <w:sz w:val="24"/>
          <w:szCs w:val="24"/>
        </w:rPr>
        <w:t xml:space="preserve"> group (</w:t>
      </w:r>
      <w:r w:rsidR="00FF2A09" w:rsidRPr="005A420A">
        <w:rPr>
          <w:rFonts w:cstheme="majorBidi"/>
          <w:b/>
          <w:bCs/>
          <w:sz w:val="24"/>
          <w:szCs w:val="24"/>
        </w:rPr>
        <w:t>92</w:t>
      </w:r>
      <w:r w:rsidR="00FF2A09">
        <w:rPr>
          <w:rFonts w:cstheme="majorBidi"/>
          <w:sz w:val="24"/>
          <w:szCs w:val="24"/>
        </w:rPr>
        <w:t>) were given LE</w:t>
      </w:r>
      <w:r w:rsidR="005A420A">
        <w:rPr>
          <w:rFonts w:cstheme="majorBidi"/>
          <w:sz w:val="24"/>
          <w:szCs w:val="24"/>
        </w:rPr>
        <w:t>,</w:t>
      </w:r>
      <w:r w:rsidR="00FF2A09">
        <w:rPr>
          <w:rFonts w:cstheme="majorBidi"/>
          <w:sz w:val="24"/>
          <w:szCs w:val="24"/>
        </w:rPr>
        <w:t xml:space="preserve"> 5mg from day cycle 3-7/3 cycles</w:t>
      </w:r>
      <w:r w:rsidR="005A420A">
        <w:rPr>
          <w:rFonts w:cstheme="majorBidi"/>
          <w:sz w:val="24"/>
          <w:szCs w:val="24"/>
        </w:rPr>
        <w:t xml:space="preserve"> in addition to CE, 0.5mg weekly for 12 weeks. Those in group </w:t>
      </w:r>
      <w:r w:rsidR="005A420A" w:rsidRPr="005A420A">
        <w:rPr>
          <w:rFonts w:cstheme="majorBidi"/>
          <w:b/>
          <w:bCs/>
          <w:sz w:val="24"/>
          <w:szCs w:val="24"/>
        </w:rPr>
        <w:t>B</w:t>
      </w:r>
      <w:r w:rsidR="005A420A">
        <w:rPr>
          <w:rFonts w:cstheme="majorBidi"/>
          <w:b/>
          <w:bCs/>
          <w:sz w:val="24"/>
          <w:szCs w:val="24"/>
        </w:rPr>
        <w:t>(88)</w:t>
      </w:r>
      <w:r w:rsidR="005A420A">
        <w:rPr>
          <w:rFonts w:cstheme="majorBidi"/>
          <w:sz w:val="24"/>
          <w:szCs w:val="24"/>
        </w:rPr>
        <w:t xml:space="preserve"> received only L</w:t>
      </w:r>
      <w:r w:rsidR="00AD38A0">
        <w:rPr>
          <w:rFonts w:cstheme="majorBidi"/>
          <w:sz w:val="24"/>
          <w:szCs w:val="24"/>
        </w:rPr>
        <w:t>E, same dose &amp; duration</w:t>
      </w:r>
      <w:r w:rsidR="005A420A">
        <w:rPr>
          <w:rFonts w:cstheme="majorBidi"/>
          <w:sz w:val="24"/>
          <w:szCs w:val="24"/>
        </w:rPr>
        <w:t xml:space="preserve">. All patients were matched for their age and body mass index. </w:t>
      </w:r>
      <w:r w:rsidR="008E5F06">
        <w:rPr>
          <w:rFonts w:cstheme="majorBidi"/>
          <w:sz w:val="24"/>
          <w:szCs w:val="24"/>
        </w:rPr>
        <w:t xml:space="preserve">Exclusion criteria: other causes of HP. Main outcome measure was rate of ovulation and detection of both chemical &amp; clinical pregnancies by estimation of βhCG and </w:t>
      </w:r>
      <w:r w:rsidR="00FE47EC" w:rsidRPr="00FE47EC">
        <w:rPr>
          <w:rFonts w:cstheme="majorBidi"/>
          <w:sz w:val="24"/>
          <w:szCs w:val="24"/>
        </w:rPr>
        <w:t>ultrasound</w:t>
      </w:r>
      <w:r w:rsidR="00FE47EC">
        <w:rPr>
          <w:rFonts w:cstheme="majorBidi"/>
          <w:sz w:val="24"/>
          <w:szCs w:val="24"/>
        </w:rPr>
        <w:t xml:space="preserve"> </w:t>
      </w:r>
      <w:r w:rsidR="008E5F06">
        <w:rPr>
          <w:rFonts w:cstheme="majorBidi"/>
          <w:sz w:val="24"/>
          <w:szCs w:val="24"/>
        </w:rPr>
        <w:t xml:space="preserve">detection of </w:t>
      </w:r>
      <w:r w:rsidR="00AD38A0">
        <w:rPr>
          <w:rFonts w:cstheme="majorBidi"/>
          <w:sz w:val="24"/>
          <w:szCs w:val="24"/>
        </w:rPr>
        <w:t xml:space="preserve">fetal </w:t>
      </w:r>
      <w:r w:rsidR="00FE47EC">
        <w:rPr>
          <w:rFonts w:cstheme="majorBidi"/>
          <w:sz w:val="24"/>
          <w:szCs w:val="24"/>
        </w:rPr>
        <w:t>cardiac activity,2-4 weeks after missed period. Follow-up period was for 6 months. Statistical analysis of data performed using SPSS version for windows. P-value considered significant if  &lt; 0.05.</w:t>
      </w:r>
    </w:p>
    <w:p w:rsidR="0045642B" w:rsidRPr="00105133" w:rsidRDefault="0045642B" w:rsidP="00105133">
      <w:pPr>
        <w:jc w:val="both"/>
        <w:rPr>
          <w:sz w:val="24"/>
          <w:szCs w:val="24"/>
        </w:rPr>
      </w:pPr>
      <w:r w:rsidRPr="0045642B">
        <w:rPr>
          <w:b/>
          <w:bCs/>
          <w:sz w:val="24"/>
          <w:szCs w:val="24"/>
          <w:u w:val="single"/>
        </w:rPr>
        <w:t xml:space="preserve">RESULTS: </w:t>
      </w:r>
      <w:r w:rsidR="00850D14">
        <w:rPr>
          <w:sz w:val="24"/>
          <w:szCs w:val="24"/>
        </w:rPr>
        <w:t xml:space="preserve">Three patients from group </w:t>
      </w:r>
      <w:r w:rsidR="00850D14" w:rsidRPr="00850D14">
        <w:rPr>
          <w:b/>
          <w:bCs/>
          <w:sz w:val="24"/>
          <w:szCs w:val="24"/>
        </w:rPr>
        <w:t>A</w:t>
      </w:r>
      <w:r w:rsidR="00850D14">
        <w:rPr>
          <w:b/>
          <w:bCs/>
          <w:sz w:val="24"/>
          <w:szCs w:val="24"/>
        </w:rPr>
        <w:t xml:space="preserve"> </w:t>
      </w:r>
      <w:r w:rsidR="00850D14" w:rsidRPr="00850D14">
        <w:rPr>
          <w:sz w:val="24"/>
          <w:szCs w:val="24"/>
        </w:rPr>
        <w:t>and five from group</w:t>
      </w:r>
      <w:r w:rsidR="00850D14">
        <w:rPr>
          <w:b/>
          <w:bCs/>
          <w:sz w:val="24"/>
          <w:szCs w:val="24"/>
        </w:rPr>
        <w:t xml:space="preserve"> B </w:t>
      </w:r>
      <w:r w:rsidR="00850D14">
        <w:rPr>
          <w:sz w:val="24"/>
          <w:szCs w:val="24"/>
        </w:rPr>
        <w:t>had drug side effects and were excluded from the study. None of the patients in either group were lost during the follow-up</w:t>
      </w:r>
      <w:r w:rsidR="00487492">
        <w:rPr>
          <w:sz w:val="24"/>
          <w:szCs w:val="24"/>
        </w:rPr>
        <w:t xml:space="preserve"> period</w:t>
      </w:r>
      <w:r w:rsidR="00850D14">
        <w:rPr>
          <w:sz w:val="24"/>
          <w:szCs w:val="24"/>
        </w:rPr>
        <w:t>.</w:t>
      </w:r>
      <w:r w:rsidR="00EB36A0">
        <w:rPr>
          <w:sz w:val="24"/>
          <w:szCs w:val="24"/>
        </w:rPr>
        <w:t xml:space="preserve"> In group </w:t>
      </w:r>
      <w:r w:rsidR="00EB36A0" w:rsidRPr="00EB36A0">
        <w:rPr>
          <w:b/>
          <w:bCs/>
          <w:sz w:val="24"/>
          <w:szCs w:val="24"/>
        </w:rPr>
        <w:t>A</w:t>
      </w:r>
      <w:r w:rsidR="00EB36A0">
        <w:rPr>
          <w:b/>
          <w:bCs/>
          <w:sz w:val="24"/>
          <w:szCs w:val="24"/>
        </w:rPr>
        <w:t>,</w:t>
      </w:r>
      <w:r w:rsidR="00EB36A0">
        <w:rPr>
          <w:sz w:val="24"/>
          <w:szCs w:val="24"/>
        </w:rPr>
        <w:t xml:space="preserve"> difference between mean serum level of prolactin before &amp; after treatment was</w:t>
      </w:r>
      <w:r w:rsidR="00105133" w:rsidRPr="00105133">
        <w:t xml:space="preserve"> </w:t>
      </w:r>
      <w:r w:rsidR="00105133">
        <w:rPr>
          <w:sz w:val="24"/>
          <w:szCs w:val="24"/>
        </w:rPr>
        <w:t>statistically significant</w:t>
      </w:r>
      <w:r w:rsidR="00EB36A0">
        <w:rPr>
          <w:sz w:val="24"/>
          <w:szCs w:val="24"/>
        </w:rPr>
        <w:t xml:space="preserve"> (P&lt;0.001): 48±</w:t>
      </w:r>
      <w:r w:rsidR="005D1C12">
        <w:rPr>
          <w:sz w:val="24"/>
          <w:szCs w:val="24"/>
        </w:rPr>
        <w:t xml:space="preserve">3ng/ml and 9.7±4.5ng/ml respectively. No significant decrease in prolactin level in group </w:t>
      </w:r>
      <w:r w:rsidR="005D1C12" w:rsidRPr="005D1C12">
        <w:rPr>
          <w:b/>
          <w:bCs/>
          <w:sz w:val="24"/>
          <w:szCs w:val="24"/>
        </w:rPr>
        <w:t>B</w:t>
      </w:r>
      <w:r w:rsidR="005D1C12">
        <w:rPr>
          <w:sz w:val="24"/>
          <w:szCs w:val="24"/>
        </w:rPr>
        <w:t xml:space="preserve">. Ovulation rate was higher in group </w:t>
      </w:r>
      <w:r w:rsidR="005D1C12" w:rsidRPr="005D1C12">
        <w:rPr>
          <w:b/>
          <w:bCs/>
          <w:sz w:val="24"/>
          <w:szCs w:val="24"/>
        </w:rPr>
        <w:t xml:space="preserve">A </w:t>
      </w:r>
      <w:r w:rsidR="005D1C12">
        <w:rPr>
          <w:sz w:val="24"/>
          <w:szCs w:val="24"/>
        </w:rPr>
        <w:t xml:space="preserve">(64.8%) in comparison to group </w:t>
      </w:r>
      <w:r w:rsidR="005D1C12" w:rsidRPr="005D1C12">
        <w:rPr>
          <w:b/>
          <w:bCs/>
          <w:sz w:val="24"/>
          <w:szCs w:val="24"/>
        </w:rPr>
        <w:t>B</w:t>
      </w:r>
      <w:r w:rsidR="005D1C12">
        <w:rPr>
          <w:sz w:val="24"/>
          <w:szCs w:val="24"/>
        </w:rPr>
        <w:t xml:space="preserve"> (41.2%), (P&lt;0.001).Clinical pregnancy rate in group </w:t>
      </w:r>
      <w:r w:rsidR="005D1C12" w:rsidRPr="00105133">
        <w:rPr>
          <w:b/>
          <w:bCs/>
          <w:sz w:val="24"/>
          <w:szCs w:val="24"/>
        </w:rPr>
        <w:t>A</w:t>
      </w:r>
      <w:r w:rsidR="005D1C12">
        <w:rPr>
          <w:sz w:val="24"/>
          <w:szCs w:val="24"/>
        </w:rPr>
        <w:t xml:space="preserve"> (40.8%) </w:t>
      </w:r>
      <w:r w:rsidR="00105133">
        <w:rPr>
          <w:sz w:val="24"/>
          <w:szCs w:val="24"/>
        </w:rPr>
        <w:t>and</w:t>
      </w:r>
      <w:r w:rsidR="005D1C12">
        <w:rPr>
          <w:sz w:val="24"/>
          <w:szCs w:val="24"/>
        </w:rPr>
        <w:t xml:space="preserve"> (27.3%)  in group </w:t>
      </w:r>
      <w:r w:rsidR="005D1C12" w:rsidRPr="00105133">
        <w:rPr>
          <w:b/>
          <w:bCs/>
          <w:sz w:val="24"/>
          <w:szCs w:val="24"/>
        </w:rPr>
        <w:t>B</w:t>
      </w:r>
      <w:r w:rsidR="005D1C12">
        <w:rPr>
          <w:sz w:val="24"/>
          <w:szCs w:val="24"/>
        </w:rPr>
        <w:t xml:space="preserve"> (P&lt;0.001)</w:t>
      </w:r>
      <w:r w:rsidR="00105133">
        <w:rPr>
          <w:sz w:val="24"/>
          <w:szCs w:val="24"/>
        </w:rPr>
        <w:t xml:space="preserve">. Neither twin pregnancy, nor OHSS were recorded in both groups. </w:t>
      </w:r>
    </w:p>
    <w:p w:rsidR="0045642B" w:rsidRPr="00330B24" w:rsidRDefault="0045642B" w:rsidP="00330B24">
      <w:pPr>
        <w:jc w:val="both"/>
        <w:rPr>
          <w:rFonts w:cstheme="majorBidi"/>
          <w:sz w:val="24"/>
          <w:szCs w:val="24"/>
        </w:rPr>
      </w:pPr>
      <w:r w:rsidRPr="0045642B">
        <w:rPr>
          <w:rFonts w:cstheme="majorBidi"/>
          <w:b/>
          <w:bCs/>
          <w:sz w:val="24"/>
          <w:szCs w:val="24"/>
          <w:u w:val="single"/>
        </w:rPr>
        <w:t>CONCLUSIONS:</w:t>
      </w:r>
      <w:r w:rsidR="00330B24">
        <w:rPr>
          <w:rFonts w:cstheme="majorBidi"/>
          <w:b/>
          <w:bCs/>
          <w:sz w:val="24"/>
          <w:szCs w:val="24"/>
          <w:u w:val="single"/>
        </w:rPr>
        <w:t xml:space="preserve">  </w:t>
      </w:r>
      <w:r w:rsidR="00330B24">
        <w:rPr>
          <w:rFonts w:cstheme="majorBidi"/>
          <w:sz w:val="24"/>
          <w:szCs w:val="24"/>
        </w:rPr>
        <w:t>The combination of LE &amp; CE is superior to LE  alone in management of anovulatory patients with PCOS and should be used as the first-line treatment for them.</w:t>
      </w:r>
    </w:p>
    <w:p w:rsidR="00950391" w:rsidRDefault="0045642B" w:rsidP="005D0271">
      <w:pPr>
        <w:jc w:val="both"/>
        <w:rPr>
          <w:rFonts w:cstheme="majorBidi"/>
          <w:sz w:val="24"/>
          <w:szCs w:val="24"/>
        </w:rPr>
      </w:pPr>
      <w:r>
        <w:rPr>
          <w:rFonts w:cstheme="majorBidi"/>
          <w:b/>
          <w:bCs/>
          <w:sz w:val="24"/>
          <w:szCs w:val="24"/>
          <w:u w:val="single"/>
        </w:rPr>
        <w:t>Keywords:</w:t>
      </w:r>
      <w:r w:rsidR="00105133" w:rsidRPr="00105133">
        <w:t xml:space="preserve"> </w:t>
      </w:r>
      <w:r w:rsidR="00105133" w:rsidRPr="00105133">
        <w:rPr>
          <w:rFonts w:cstheme="majorBidi"/>
          <w:sz w:val="24"/>
          <w:szCs w:val="24"/>
        </w:rPr>
        <w:t>Polycystic Ovarian Syndrome</w:t>
      </w:r>
      <w:r w:rsidR="00105133">
        <w:rPr>
          <w:rFonts w:cstheme="majorBidi"/>
          <w:sz w:val="24"/>
          <w:szCs w:val="24"/>
        </w:rPr>
        <w:t xml:space="preserve">, </w:t>
      </w:r>
      <w:r w:rsidR="00105133" w:rsidRPr="00105133">
        <w:rPr>
          <w:rFonts w:cstheme="majorBidi"/>
          <w:sz w:val="24"/>
          <w:szCs w:val="24"/>
        </w:rPr>
        <w:t>Letrozole</w:t>
      </w:r>
      <w:r w:rsidR="00105133">
        <w:rPr>
          <w:rFonts w:cstheme="majorBidi"/>
          <w:sz w:val="24"/>
          <w:szCs w:val="24"/>
        </w:rPr>
        <w:t xml:space="preserve">, </w:t>
      </w:r>
      <w:r w:rsidR="00950391">
        <w:rPr>
          <w:rFonts w:cstheme="majorBidi"/>
          <w:sz w:val="24"/>
          <w:szCs w:val="24"/>
        </w:rPr>
        <w:t>Cabergoline</w:t>
      </w:r>
      <w:bookmarkStart w:id="0" w:name="_GoBack"/>
      <w:bookmarkEnd w:id="0"/>
    </w:p>
    <w:p w:rsidR="00950391" w:rsidRDefault="00950391" w:rsidP="00943905">
      <w:pPr>
        <w:jc w:val="both"/>
        <w:rPr>
          <w:rFonts w:cstheme="majorBidi"/>
          <w:sz w:val="24"/>
          <w:szCs w:val="24"/>
        </w:rPr>
      </w:pPr>
      <w:r>
        <w:rPr>
          <w:rFonts w:cstheme="majorBidi"/>
          <w:noProof/>
          <w:sz w:val="24"/>
          <w:szCs w:val="24"/>
        </w:rPr>
        <w:lastRenderedPageBreak/>
        <w:drawing>
          <wp:inline distT="0" distB="0" distL="0" distR="0" wp14:anchorId="0A78FC3A">
            <wp:extent cx="2078990" cy="20789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78990" cy="2078990"/>
                    </a:xfrm>
                    <a:prstGeom prst="rect">
                      <a:avLst/>
                    </a:prstGeom>
                    <a:noFill/>
                  </pic:spPr>
                </pic:pic>
              </a:graphicData>
            </a:graphic>
          </wp:inline>
        </w:drawing>
      </w:r>
    </w:p>
    <w:p w:rsidR="00950391" w:rsidRDefault="00950391" w:rsidP="00943905">
      <w:pPr>
        <w:jc w:val="both"/>
        <w:rPr>
          <w:rFonts w:cstheme="majorBidi"/>
          <w:sz w:val="24"/>
          <w:szCs w:val="24"/>
        </w:rPr>
      </w:pPr>
    </w:p>
    <w:p w:rsidR="00330B24" w:rsidRPr="009E3DB7" w:rsidRDefault="00330B24" w:rsidP="00943905">
      <w:pPr>
        <w:jc w:val="both"/>
        <w:rPr>
          <w:rFonts w:cstheme="majorBidi"/>
          <w:sz w:val="24"/>
          <w:szCs w:val="24"/>
        </w:rPr>
      </w:pPr>
      <w:r w:rsidRPr="009E3DB7">
        <w:rPr>
          <w:rFonts w:cstheme="majorBidi"/>
          <w:b/>
          <w:bCs/>
          <w:sz w:val="24"/>
          <w:szCs w:val="24"/>
          <w:u w:val="single"/>
        </w:rPr>
        <w:t>Biography</w:t>
      </w:r>
    </w:p>
    <w:p w:rsidR="00A44250" w:rsidRDefault="00330B24" w:rsidP="005D0271">
      <w:pPr>
        <w:jc w:val="both"/>
        <w:rPr>
          <w:rFonts w:cstheme="majorBidi"/>
          <w:sz w:val="24"/>
          <w:szCs w:val="24"/>
        </w:rPr>
      </w:pPr>
      <w:r w:rsidRPr="00330B24">
        <w:rPr>
          <w:rFonts w:cstheme="majorBidi"/>
          <w:sz w:val="24"/>
          <w:szCs w:val="24"/>
        </w:rPr>
        <w:t>Working as an Associate Clinical Professor and Senior Consultant Obstetrician &amp; Gynecologist with Sub-Specialty in Endoscopic Surgery &amp; Reproductive Medicine at Misurata University/Al-Amal Hospital for Obstetrics &amp; Gynecology, Infertility Treatments and Genetic Research, also as a Head of the Academic dept. of Al-Nuballa Centre for Medical Education &amp; Scientific Research, Misurata, Libya. Obtained her first Medical degree in 1994 from Al-Arab Medical University, Benghazi, Libya, also a Master degree of Medical Sciences in Assisted Reproductive Technologies, (MMedSci, ART), from Nottingham University, UK(2001), and a PhD from Manchester University, UK (2007), in addition to the {ABOG} : Arab Board of Obstetrics &amp; Gynecology (2005). She had attended several advanced Courses : in {Assisted Reproductive Techniques,(IVF/ICSI), Leuven University Fertility Centre,</w:t>
      </w:r>
      <w:r w:rsidR="005D0271">
        <w:rPr>
          <w:rFonts w:cstheme="majorBidi"/>
          <w:sz w:val="24"/>
          <w:szCs w:val="24"/>
        </w:rPr>
        <w:t xml:space="preserve"> Belgium}, {Prolapse Surgery,</w:t>
      </w:r>
      <w:r w:rsidRPr="00330B24">
        <w:rPr>
          <w:rFonts w:cstheme="majorBidi"/>
          <w:sz w:val="24"/>
          <w:szCs w:val="24"/>
        </w:rPr>
        <w:t xml:space="preserve"> Non Descent Vaginal Hysterectomy</w:t>
      </w:r>
      <w:r w:rsidR="005D0271">
        <w:rPr>
          <w:rFonts w:cstheme="majorBidi"/>
          <w:sz w:val="24"/>
          <w:szCs w:val="24"/>
        </w:rPr>
        <w:t xml:space="preserve"> and Cosmetic Vaginal Surgery</w:t>
      </w:r>
      <w:r w:rsidRPr="00330B24">
        <w:rPr>
          <w:rFonts w:cstheme="majorBidi"/>
          <w:sz w:val="24"/>
          <w:szCs w:val="24"/>
        </w:rPr>
        <w:t xml:space="preserve">, Nepalgunj University/Nepal}, {Gynecological Endoscopic Surgery, Alexandria Endoscopic Association, Alexandria-Egypt}, </w:t>
      </w:r>
      <w:r w:rsidR="005D0271">
        <w:rPr>
          <w:rFonts w:cstheme="majorBidi"/>
          <w:sz w:val="24"/>
          <w:szCs w:val="24"/>
        </w:rPr>
        <w:t xml:space="preserve">Laparoscopy &amp; </w:t>
      </w:r>
      <w:r w:rsidRPr="00330B24">
        <w:rPr>
          <w:rFonts w:cstheme="majorBidi"/>
          <w:sz w:val="24"/>
          <w:szCs w:val="24"/>
        </w:rPr>
        <w:t>Ultrasound courses, {Egyptian Society of Maternal &amp; Fetal Medicine}. Published more than 2</w:t>
      </w:r>
      <w:r w:rsidR="005D0271">
        <w:rPr>
          <w:rFonts w:cstheme="majorBidi"/>
          <w:sz w:val="24"/>
          <w:szCs w:val="24"/>
        </w:rPr>
        <w:t>8</w:t>
      </w:r>
      <w:r w:rsidRPr="00330B24">
        <w:rPr>
          <w:rFonts w:cstheme="majorBidi"/>
          <w:sz w:val="24"/>
          <w:szCs w:val="24"/>
        </w:rPr>
        <w:t xml:space="preserve"> papers, and attended more than 90 Scientific meetings, workshops, national and International Congresses since primary graduation, being an invited Speaker among some of them, also being as an editorial board member, reviewer, and member: </w:t>
      </w:r>
      <w:r w:rsidR="005D0271">
        <w:rPr>
          <w:rFonts w:cstheme="majorBidi"/>
          <w:sz w:val="24"/>
          <w:szCs w:val="24"/>
        </w:rPr>
        <w:t xml:space="preserve">of the Scientific Committees of </w:t>
      </w:r>
      <w:r w:rsidRPr="00330B24">
        <w:rPr>
          <w:rFonts w:cstheme="majorBidi"/>
          <w:sz w:val="24"/>
          <w:szCs w:val="24"/>
        </w:rPr>
        <w:t xml:space="preserve"> Local &amp; International Journals and Conferences such as the 44th(2015), 45th(2016), and 46th(2017) AAGL Minimally Invasive Gynecology Global Congress, U.S.A, in addition to the membership of Professional Societies in her field of Specialization.</w:t>
      </w:r>
    </w:p>
    <w:p w:rsidR="00330B24" w:rsidRPr="00330B24" w:rsidRDefault="00A44250" w:rsidP="00943905">
      <w:pPr>
        <w:jc w:val="both"/>
        <w:rPr>
          <w:rFonts w:cstheme="majorBidi"/>
          <w:sz w:val="24"/>
          <w:szCs w:val="24"/>
        </w:rPr>
      </w:pPr>
      <w:r>
        <w:rPr>
          <w:rFonts w:cstheme="majorBidi"/>
          <w:sz w:val="24"/>
          <w:szCs w:val="24"/>
        </w:rPr>
        <w:t xml:space="preserve"> </w:t>
      </w:r>
      <w:r w:rsidRPr="00A44250">
        <w:rPr>
          <w:rFonts w:cstheme="majorBidi"/>
          <w:b/>
          <w:bCs/>
          <w:sz w:val="24"/>
          <w:szCs w:val="24"/>
          <w:u w:val="single"/>
        </w:rPr>
        <w:t>Research Interest</w:t>
      </w:r>
      <w:r>
        <w:rPr>
          <w:rFonts w:cstheme="majorBidi"/>
          <w:sz w:val="24"/>
          <w:szCs w:val="24"/>
        </w:rPr>
        <w:t>: Reproductive Medicine/Gyn. Endoscopic Surgery</w:t>
      </w:r>
    </w:p>
    <w:sectPr w:rsidR="00330B24" w:rsidRPr="00330B24">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BA4"/>
    <w:rsid w:val="00062837"/>
    <w:rsid w:val="00084BA4"/>
    <w:rsid w:val="00105133"/>
    <w:rsid w:val="002C6490"/>
    <w:rsid w:val="00330B24"/>
    <w:rsid w:val="00353B7F"/>
    <w:rsid w:val="0045642B"/>
    <w:rsid w:val="00487492"/>
    <w:rsid w:val="00494D1A"/>
    <w:rsid w:val="005A1AF6"/>
    <w:rsid w:val="005A420A"/>
    <w:rsid w:val="005D0271"/>
    <w:rsid w:val="005D1C12"/>
    <w:rsid w:val="0064632D"/>
    <w:rsid w:val="006541D8"/>
    <w:rsid w:val="00676F20"/>
    <w:rsid w:val="00733AE3"/>
    <w:rsid w:val="007419C4"/>
    <w:rsid w:val="00850D14"/>
    <w:rsid w:val="00880A7F"/>
    <w:rsid w:val="008E5F06"/>
    <w:rsid w:val="009411A6"/>
    <w:rsid w:val="00943905"/>
    <w:rsid w:val="00950391"/>
    <w:rsid w:val="00952A55"/>
    <w:rsid w:val="009E3DB7"/>
    <w:rsid w:val="00A44250"/>
    <w:rsid w:val="00A55BAA"/>
    <w:rsid w:val="00AD38A0"/>
    <w:rsid w:val="00E739BE"/>
    <w:rsid w:val="00EB36A0"/>
    <w:rsid w:val="00EC6F77"/>
    <w:rsid w:val="00F6344F"/>
    <w:rsid w:val="00F75268"/>
    <w:rsid w:val="00FE47EC"/>
    <w:rsid w:val="00FF2A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1A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1A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1A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1A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saa</dc:creator>
  <cp:lastModifiedBy>saa</cp:lastModifiedBy>
  <cp:revision>2</cp:revision>
  <cp:lastPrinted>2017-10-01T16:05:00Z</cp:lastPrinted>
  <dcterms:created xsi:type="dcterms:W3CDTF">2017-11-08T13:59:00Z</dcterms:created>
  <dcterms:modified xsi:type="dcterms:W3CDTF">2017-11-08T13:59:00Z</dcterms:modified>
</cp:coreProperties>
</file>