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49F" w:rsidRPr="00D40404" w:rsidRDefault="00A9649F" w:rsidP="00A9649F">
      <w:pPr>
        <w:jc w:val="center"/>
        <w:rPr>
          <w:rFonts w:asciiTheme="majorBidi" w:hAnsiTheme="majorBidi" w:cstheme="majorBidi"/>
          <w:b/>
          <w:sz w:val="28"/>
          <w:szCs w:val="28"/>
          <w:lang w:bidi="ar-EG"/>
        </w:rPr>
      </w:pPr>
      <w:r w:rsidRPr="00D40404">
        <w:rPr>
          <w:rFonts w:asciiTheme="majorBidi" w:hAnsiTheme="majorBidi" w:cstheme="majorBidi"/>
          <w:b/>
          <w:sz w:val="28"/>
          <w:szCs w:val="28"/>
          <w:lang w:bidi="ar-EG"/>
        </w:rPr>
        <w:t>Effect of oral Tadalafil on endometrial thickness in patients receiving Clomiphene citrate for ovulation induction</w:t>
      </w:r>
    </w:p>
    <w:p w:rsidR="00A9649F" w:rsidRPr="00D40404" w:rsidRDefault="00A9649F" w:rsidP="00A9649F">
      <w:pPr>
        <w:tabs>
          <w:tab w:val="left" w:pos="1688"/>
          <w:tab w:val="left" w:pos="2331"/>
          <w:tab w:val="center" w:pos="4770"/>
        </w:tabs>
        <w:jc w:val="center"/>
        <w:rPr>
          <w:rFonts w:asciiTheme="majorBidi" w:eastAsia="Times New Roman" w:hAnsiTheme="majorBidi" w:cstheme="majorBidi"/>
          <w:b/>
          <w:sz w:val="24"/>
          <w:szCs w:val="24"/>
          <w:lang w:eastAsia="ar-SA"/>
        </w:rPr>
      </w:pPr>
      <w:r w:rsidRPr="00D40404">
        <w:rPr>
          <w:rFonts w:asciiTheme="majorBidi" w:hAnsiTheme="majorBidi" w:cstheme="majorBidi"/>
          <w:b/>
          <w:sz w:val="28"/>
          <w:szCs w:val="28"/>
        </w:rPr>
        <w:t>Islam Mohamed Magdi Ammar</w:t>
      </w:r>
      <w:r w:rsidRPr="00D40404">
        <w:rPr>
          <w:rFonts w:asciiTheme="majorBidi" w:eastAsia="Times New Roman" w:hAnsiTheme="majorBidi" w:cstheme="majorBidi"/>
          <w:b/>
          <w:sz w:val="24"/>
          <w:szCs w:val="24"/>
          <w:lang w:eastAsia="ar-SA"/>
        </w:rPr>
        <w:t xml:space="preserve"> MD</w:t>
      </w:r>
      <w:r w:rsidRPr="00D40404">
        <w:rPr>
          <w:rFonts w:asciiTheme="majorBidi" w:eastAsia="Times New Roman" w:hAnsiTheme="majorBidi" w:cstheme="majorBidi"/>
          <w:b/>
          <w:sz w:val="24"/>
          <w:szCs w:val="24"/>
          <w:vertAlign w:val="superscript"/>
          <w:lang w:eastAsia="ar-SA"/>
        </w:rPr>
        <w:t>1</w:t>
      </w:r>
      <w:r w:rsidRPr="00D40404">
        <w:rPr>
          <w:rFonts w:asciiTheme="majorBidi" w:hAnsiTheme="majorBidi" w:cstheme="majorBidi"/>
          <w:b/>
          <w:sz w:val="28"/>
          <w:szCs w:val="28"/>
        </w:rPr>
        <w:t>, Mostafa Abdo Ahmed Salem</w:t>
      </w:r>
      <w:r w:rsidRPr="00D40404">
        <w:rPr>
          <w:rFonts w:asciiTheme="majorBidi" w:eastAsia="Times New Roman" w:hAnsiTheme="majorBidi" w:cstheme="majorBidi"/>
          <w:b/>
          <w:sz w:val="24"/>
          <w:szCs w:val="24"/>
          <w:lang w:eastAsia="ar-SA"/>
        </w:rPr>
        <w:t xml:space="preserve"> MD</w:t>
      </w:r>
      <w:r w:rsidRPr="00D40404">
        <w:rPr>
          <w:rFonts w:asciiTheme="majorBidi" w:eastAsia="Times New Roman" w:hAnsiTheme="majorBidi" w:cstheme="majorBidi"/>
          <w:b/>
          <w:sz w:val="24"/>
          <w:szCs w:val="24"/>
          <w:vertAlign w:val="superscript"/>
          <w:lang w:eastAsia="ar-SA"/>
        </w:rPr>
        <w:t>1</w:t>
      </w:r>
    </w:p>
    <w:p w:rsidR="00A9649F" w:rsidRPr="00D40404" w:rsidRDefault="00A9649F" w:rsidP="00A9649F">
      <w:pPr>
        <w:jc w:val="center"/>
        <w:rPr>
          <w:rFonts w:asciiTheme="majorBidi" w:hAnsiTheme="majorBidi" w:cstheme="majorBidi"/>
          <w:b/>
          <w:sz w:val="28"/>
          <w:szCs w:val="28"/>
        </w:rPr>
      </w:pPr>
      <w:r w:rsidRPr="00D40404">
        <w:rPr>
          <w:rFonts w:asciiTheme="majorBidi" w:eastAsia="Times New Roman" w:hAnsiTheme="majorBidi" w:cstheme="majorBidi"/>
          <w:b/>
          <w:sz w:val="24"/>
          <w:szCs w:val="24"/>
          <w:vertAlign w:val="superscript"/>
          <w:lang w:eastAsia="ar-SA"/>
        </w:rPr>
        <w:t>1</w:t>
      </w:r>
      <w:r w:rsidRPr="00D40404">
        <w:rPr>
          <w:rFonts w:asciiTheme="majorBidi" w:hAnsiTheme="majorBidi" w:cstheme="majorBidi"/>
          <w:b/>
          <w:sz w:val="28"/>
          <w:szCs w:val="28"/>
        </w:rPr>
        <w:t>Department of Obstetrics and Gynecology, Faculty of Medicine, Zagazig University, Egypt</w:t>
      </w:r>
    </w:p>
    <w:p w:rsidR="00AE3E37" w:rsidRPr="00D40404" w:rsidRDefault="00AE3E37">
      <w:pPr>
        <w:pStyle w:val="BodyText"/>
        <w:rPr>
          <w:rFonts w:asciiTheme="majorBidi" w:hAnsiTheme="majorBidi" w:cstheme="majorBidi"/>
          <w:b/>
          <w:sz w:val="20"/>
        </w:rPr>
      </w:pPr>
    </w:p>
    <w:p w:rsidR="00AE3E37" w:rsidRPr="00D40404" w:rsidRDefault="00AE3E37">
      <w:pPr>
        <w:pStyle w:val="BodyText"/>
        <w:spacing w:before="3"/>
        <w:rPr>
          <w:rFonts w:asciiTheme="majorBidi" w:hAnsiTheme="majorBidi" w:cstheme="majorBidi"/>
          <w:b/>
          <w:sz w:val="21"/>
        </w:rPr>
      </w:pPr>
    </w:p>
    <w:p w:rsidR="00AE3E37" w:rsidRPr="00D40404" w:rsidRDefault="00AE3E37">
      <w:pPr>
        <w:rPr>
          <w:rFonts w:asciiTheme="majorBidi" w:hAnsiTheme="majorBidi" w:cstheme="majorBidi"/>
          <w:b/>
          <w:sz w:val="21"/>
        </w:rPr>
        <w:sectPr w:rsidR="00AE3E37" w:rsidRPr="00D40404">
          <w:headerReference w:type="default" r:id="rId8"/>
          <w:footerReference w:type="default" r:id="rId9"/>
          <w:type w:val="continuous"/>
          <w:pgSz w:w="11910" w:h="16840"/>
          <w:pgMar w:top="1740" w:right="600" w:bottom="840" w:left="620" w:header="541" w:footer="642" w:gutter="0"/>
          <w:cols w:space="720"/>
        </w:sectPr>
      </w:pP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lang w:val="en-GB"/>
        </w:rPr>
        <w:t xml:space="preserve">Abstract </w:t>
      </w:r>
      <w:r w:rsidRPr="00D40404">
        <w:rPr>
          <w:rFonts w:asciiTheme="majorBidi" w:hAnsiTheme="majorBidi" w:cstheme="majorBidi"/>
          <w:bCs w:val="0"/>
          <w:i/>
          <w:iCs/>
          <w:lang w:val="en-GB"/>
        </w:rPr>
        <w:t>Background:</w:t>
      </w:r>
      <w:r w:rsidRPr="00D40404">
        <w:rPr>
          <w:rFonts w:asciiTheme="majorBidi" w:hAnsiTheme="majorBidi" w:cstheme="majorBidi"/>
          <w:bCs w:val="0"/>
          <w:lang w:val="en-GB"/>
        </w:rPr>
        <w:t xml:space="preserve"> Adequate  and  optimum  endometrial  development  is required  for  a  successful  pregnancy  to  occur. Clomiphene citrate is well known for its negative impact on endometrial thickness. The long-acting phosphodiesterase 5 inhibitor, Tadalafil, was shown to improve endometrial growth in patients under Clomiphene citrate stimulation.</w:t>
      </w: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i/>
          <w:iCs/>
          <w:lang w:val="en-GB"/>
        </w:rPr>
        <w:t>Objective:</w:t>
      </w:r>
      <w:r w:rsidRPr="00D40404">
        <w:rPr>
          <w:rFonts w:asciiTheme="majorBidi" w:hAnsiTheme="majorBidi" w:cstheme="majorBidi"/>
          <w:bCs w:val="0"/>
          <w:lang w:val="en-GB"/>
        </w:rPr>
        <w:t xml:space="preserve"> To study the effect of Tadalafil on the endometrial thickness in Clomiphene citrate stimulated cycles as compared to clomiphene citrate alone and human menopausal gonadotropins.</w:t>
      </w: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i/>
          <w:iCs/>
          <w:lang w:val="en-GB"/>
        </w:rPr>
        <w:t>Study design:</w:t>
      </w:r>
      <w:r w:rsidRPr="00D40404">
        <w:rPr>
          <w:rFonts w:asciiTheme="majorBidi" w:hAnsiTheme="majorBidi" w:cstheme="majorBidi"/>
          <w:bCs w:val="0"/>
          <w:lang w:val="en-GB"/>
        </w:rPr>
        <w:t xml:space="preserve"> A randomized controlled study. Setting was at the infertility clinic of Cytogenetic and Endoscopy Unit, Zagazig University Hospital.</w:t>
      </w: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i/>
          <w:iCs/>
          <w:lang w:val="en-GB"/>
        </w:rPr>
        <w:t>Material and methods</w:t>
      </w:r>
      <w:r w:rsidRPr="00D40404">
        <w:rPr>
          <w:rFonts w:asciiTheme="majorBidi" w:hAnsiTheme="majorBidi" w:cstheme="majorBidi"/>
          <w:bCs w:val="0"/>
          <w:lang w:val="en-GB"/>
        </w:rPr>
        <w:t>: The study included 236 patients who underwent a single cycle of ovulation induction and timed intercourse. Patients were divided into 3 groups: Controlled ovarian stimulation was done in group A by Clomiphene Citrate alone, in group B by Clomiphene Citrate with addition of Tadalafil and in group C by Human Menopausal Gonadotropins.</w:t>
      </w: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i/>
          <w:iCs/>
          <w:lang w:val="en-GB"/>
        </w:rPr>
        <w:t>Results:</w:t>
      </w:r>
      <w:r w:rsidRPr="00D40404">
        <w:rPr>
          <w:rFonts w:asciiTheme="majorBidi" w:hAnsiTheme="majorBidi" w:cstheme="majorBidi"/>
          <w:bCs w:val="0"/>
          <w:lang w:val="en-GB"/>
        </w:rPr>
        <w:t xml:space="preserve"> As regard the number of cases who got pregnant, we found that there was a statistically significant difference (P &lt; 0.05) for patients in group B and C when compared with group A. </w:t>
      </w:r>
    </w:p>
    <w:p w:rsidR="00A9649F" w:rsidRPr="00D40404" w:rsidRDefault="00A9649F" w:rsidP="006C0432">
      <w:pPr>
        <w:pStyle w:val="Heading3"/>
        <w:ind w:left="102"/>
        <w:jc w:val="both"/>
        <w:rPr>
          <w:rFonts w:asciiTheme="majorBidi" w:hAnsiTheme="majorBidi" w:cstheme="majorBidi"/>
          <w:bCs w:val="0"/>
          <w:lang w:val="en-GB"/>
        </w:rPr>
      </w:pPr>
      <w:r w:rsidRPr="00D40404">
        <w:rPr>
          <w:rFonts w:asciiTheme="majorBidi" w:hAnsiTheme="majorBidi" w:cstheme="majorBidi"/>
          <w:bCs w:val="0"/>
          <w:i/>
          <w:iCs/>
          <w:lang w:val="en-GB"/>
        </w:rPr>
        <w:t>Conclusion</w:t>
      </w:r>
      <w:r w:rsidRPr="00D40404">
        <w:rPr>
          <w:rFonts w:asciiTheme="majorBidi" w:hAnsiTheme="majorBidi" w:cstheme="majorBidi"/>
          <w:bCs w:val="0"/>
          <w:lang w:val="en-GB"/>
        </w:rPr>
        <w:t xml:space="preserve">: This study showed that the pregnancy rate achieved with Clomiphene citrate / Tadalafil combination was comparable to that achieved by Human Menopausal Gonadotropins and significantly higher than with Clomiphene citrate alone. This was attributed to the improvement of endometrial thickness by Tadalafil in Clomiphene citrate stimulated patients. </w:t>
      </w:r>
      <w:r w:rsidR="006C0432" w:rsidRPr="00D40404">
        <w:rPr>
          <w:rFonts w:asciiTheme="majorBidi" w:hAnsiTheme="majorBidi" w:cstheme="majorBidi"/>
          <w:bCs w:val="0"/>
          <w:lang w:val="en-GB"/>
        </w:rPr>
        <w:t xml:space="preserve">COS by Clomiphene citrate / Tadalafil protocol can be used as a safer and cheaper alternative to the conventional </w:t>
      </w:r>
      <w:r w:rsidR="003331EF" w:rsidRPr="00D40404">
        <w:rPr>
          <w:rFonts w:asciiTheme="majorBidi" w:hAnsiTheme="majorBidi" w:cstheme="majorBidi"/>
          <w:bCs w:val="0"/>
          <w:lang w:val="en-GB"/>
        </w:rPr>
        <w:t>hMG stimulation</w:t>
      </w:r>
      <w:r w:rsidR="006C0432" w:rsidRPr="00D40404">
        <w:rPr>
          <w:rFonts w:asciiTheme="majorBidi" w:hAnsiTheme="majorBidi" w:cstheme="majorBidi"/>
          <w:bCs w:val="0"/>
          <w:lang w:val="en-GB"/>
        </w:rPr>
        <w:t xml:space="preserve"> protocol in cases of primary infertility including </w:t>
      </w:r>
      <w:r w:rsidR="003331EF" w:rsidRPr="00D40404">
        <w:rPr>
          <w:rFonts w:asciiTheme="majorBidi" w:hAnsiTheme="majorBidi" w:cstheme="majorBidi"/>
          <w:bCs w:val="0"/>
          <w:lang w:val="en-GB"/>
        </w:rPr>
        <w:t>unexplained infertility</w:t>
      </w:r>
      <w:r w:rsidR="006C0432" w:rsidRPr="00D40404">
        <w:rPr>
          <w:rFonts w:asciiTheme="majorBidi" w:hAnsiTheme="majorBidi" w:cstheme="majorBidi"/>
          <w:bCs w:val="0"/>
          <w:lang w:val="en-GB"/>
        </w:rPr>
        <w:t xml:space="preserve"> and PCOS with nearly the same pregnancy rate achieved with hMG stimulated cycles.</w:t>
      </w:r>
    </w:p>
    <w:p w:rsidR="00A9649F" w:rsidRPr="00D40404" w:rsidRDefault="00A9649F" w:rsidP="006A79FD">
      <w:pPr>
        <w:pStyle w:val="Heading3"/>
        <w:ind w:left="102"/>
        <w:jc w:val="both"/>
        <w:rPr>
          <w:rFonts w:asciiTheme="majorBidi" w:hAnsiTheme="majorBidi" w:cstheme="majorBidi"/>
          <w:bCs w:val="0"/>
          <w:lang w:val="en-GB"/>
        </w:rPr>
      </w:pPr>
      <w:r w:rsidRPr="00D40404">
        <w:rPr>
          <w:rFonts w:asciiTheme="majorBidi" w:hAnsiTheme="majorBidi" w:cstheme="majorBidi"/>
          <w:bCs w:val="0"/>
          <w:lang w:val="en-GB"/>
        </w:rPr>
        <w:t>Keywords: endometrial thickness, Tadalafil, Clomiphene citrate, ovulation induction</w:t>
      </w:r>
    </w:p>
    <w:p w:rsidR="00A9649F" w:rsidRPr="00D40404" w:rsidRDefault="00A9649F" w:rsidP="006A79FD">
      <w:pPr>
        <w:pStyle w:val="Heading3"/>
        <w:ind w:left="102"/>
        <w:jc w:val="both"/>
        <w:rPr>
          <w:rFonts w:asciiTheme="majorBidi" w:hAnsiTheme="majorBidi" w:cstheme="majorBidi"/>
          <w:bCs w:val="0"/>
          <w:lang w:val="en-GB"/>
        </w:rPr>
      </w:pPr>
    </w:p>
    <w:p w:rsidR="00A9649F" w:rsidRPr="00D40404" w:rsidRDefault="00A9649F" w:rsidP="00A9649F">
      <w:pPr>
        <w:pStyle w:val="Heading3"/>
        <w:spacing w:before="74"/>
        <w:rPr>
          <w:rFonts w:asciiTheme="majorBidi" w:hAnsiTheme="majorBidi" w:cstheme="majorBidi"/>
          <w:bCs w:val="0"/>
          <w:lang w:val="en-GB"/>
        </w:rPr>
      </w:pPr>
    </w:p>
    <w:p w:rsidR="006A79FD" w:rsidRPr="006A79FD" w:rsidRDefault="00A9710C" w:rsidP="006A79FD">
      <w:pPr>
        <w:pStyle w:val="Heading3"/>
        <w:spacing w:before="74"/>
        <w:ind w:left="0"/>
        <w:rPr>
          <w:rFonts w:asciiTheme="majorBidi" w:hAnsiTheme="majorBidi" w:cstheme="majorBidi"/>
          <w:bCs w:val="0"/>
          <w:sz w:val="24"/>
          <w:szCs w:val="24"/>
        </w:rPr>
      </w:pPr>
      <w:r w:rsidRPr="00D40404">
        <w:rPr>
          <w:rFonts w:asciiTheme="majorBidi" w:hAnsiTheme="majorBidi" w:cstheme="majorBidi"/>
          <w:bCs w:val="0"/>
        </w:rPr>
        <w:br w:type="column"/>
      </w:r>
      <w:r w:rsidR="006A79FD" w:rsidRPr="006A79FD">
        <w:rPr>
          <w:rFonts w:asciiTheme="majorBidi" w:eastAsia="Calibri" w:hAnsiTheme="majorBidi" w:cstheme="majorBidi"/>
          <w:bCs w:val="0"/>
          <w:sz w:val="24"/>
          <w:szCs w:val="24"/>
          <w:lang w:val="en-GB"/>
        </w:rPr>
        <w:t>Table-4: Endometrial thickness on the day of hCG triggering among the 3 studied groups:</w:t>
      </w:r>
    </w:p>
    <w:tbl>
      <w:tblPr>
        <w:tblStyle w:val="TableGrid1"/>
        <w:tblW w:w="54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18"/>
        <w:gridCol w:w="1134"/>
        <w:gridCol w:w="850"/>
        <w:gridCol w:w="851"/>
        <w:gridCol w:w="567"/>
        <w:gridCol w:w="602"/>
      </w:tblGrid>
      <w:tr w:rsidR="006A79FD" w:rsidRPr="00D40404" w:rsidTr="006A79FD">
        <w:trPr>
          <w:trHeight w:val="565"/>
          <w:jc w:val="center"/>
        </w:trPr>
        <w:tc>
          <w:tcPr>
            <w:tcW w:w="1418" w:type="dxa"/>
            <w:tcBorders>
              <w:top w:val="single" w:sz="12" w:space="0" w:color="auto"/>
              <w:left w:val="single" w:sz="12"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sz w:val="24"/>
                <w:szCs w:val="24"/>
              </w:rPr>
            </w:pPr>
            <w:r w:rsidRPr="006A79FD">
              <w:rPr>
                <w:rFonts w:asciiTheme="majorBidi" w:eastAsia="Calibri" w:hAnsiTheme="majorBidi" w:cstheme="majorBidi"/>
                <w:b/>
                <w:sz w:val="24"/>
                <w:szCs w:val="24"/>
              </w:rPr>
              <w:t>Variable</w:t>
            </w:r>
          </w:p>
        </w:tc>
        <w:tc>
          <w:tcPr>
            <w:tcW w:w="1134" w:type="dxa"/>
            <w:tcBorders>
              <w:top w:val="single" w:sz="12"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sz w:val="20"/>
                <w:szCs w:val="20"/>
              </w:rPr>
            </w:pPr>
            <w:r w:rsidRPr="006A79FD">
              <w:rPr>
                <w:rFonts w:asciiTheme="majorBidi" w:eastAsia="Calibri" w:hAnsiTheme="majorBidi" w:cstheme="majorBidi"/>
                <w:b/>
                <w:sz w:val="20"/>
                <w:szCs w:val="20"/>
              </w:rPr>
              <w:t>Group A</w:t>
            </w:r>
          </w:p>
        </w:tc>
        <w:tc>
          <w:tcPr>
            <w:tcW w:w="850" w:type="dxa"/>
            <w:tcBorders>
              <w:top w:val="single" w:sz="12"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sz w:val="20"/>
                <w:szCs w:val="20"/>
              </w:rPr>
            </w:pPr>
            <w:r w:rsidRPr="006A79FD">
              <w:rPr>
                <w:rFonts w:asciiTheme="majorBidi" w:eastAsia="Calibri" w:hAnsiTheme="majorBidi" w:cstheme="majorBidi"/>
                <w:b/>
                <w:sz w:val="20"/>
                <w:szCs w:val="20"/>
              </w:rPr>
              <w:t>Group B</w:t>
            </w:r>
          </w:p>
        </w:tc>
        <w:tc>
          <w:tcPr>
            <w:tcW w:w="851" w:type="dxa"/>
            <w:tcBorders>
              <w:top w:val="single" w:sz="12"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sz w:val="20"/>
                <w:szCs w:val="20"/>
              </w:rPr>
            </w:pPr>
            <w:r w:rsidRPr="006A79FD">
              <w:rPr>
                <w:rFonts w:asciiTheme="majorBidi" w:eastAsia="Calibri" w:hAnsiTheme="majorBidi" w:cstheme="majorBidi"/>
                <w:b/>
                <w:sz w:val="20"/>
                <w:szCs w:val="20"/>
              </w:rPr>
              <w:t>Group C</w:t>
            </w:r>
          </w:p>
        </w:tc>
        <w:tc>
          <w:tcPr>
            <w:tcW w:w="567" w:type="dxa"/>
            <w:tcBorders>
              <w:top w:val="single" w:sz="12"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sz w:val="20"/>
                <w:szCs w:val="20"/>
              </w:rPr>
            </w:pPr>
            <w:r w:rsidRPr="006A79FD">
              <w:rPr>
                <w:rFonts w:asciiTheme="majorBidi" w:eastAsia="Calibri" w:hAnsiTheme="majorBidi" w:cstheme="majorBidi"/>
                <w:b/>
                <w:sz w:val="20"/>
                <w:szCs w:val="20"/>
              </w:rPr>
              <w:t>F</w:t>
            </w:r>
          </w:p>
        </w:tc>
        <w:tc>
          <w:tcPr>
            <w:tcW w:w="602" w:type="dxa"/>
            <w:tcBorders>
              <w:top w:val="single" w:sz="12" w:space="0" w:color="auto"/>
              <w:left w:val="single" w:sz="6" w:space="0" w:color="auto"/>
              <w:bottom w:val="single" w:sz="12" w:space="0" w:color="auto"/>
              <w:right w:val="single" w:sz="12" w:space="0" w:color="auto"/>
            </w:tcBorders>
            <w:hideMark/>
          </w:tcPr>
          <w:p w:rsidR="006A79FD" w:rsidRPr="006A79FD" w:rsidRDefault="006A79FD" w:rsidP="006A79FD">
            <w:pPr>
              <w:jc w:val="center"/>
              <w:rPr>
                <w:rFonts w:asciiTheme="majorBidi" w:eastAsia="Calibri" w:hAnsiTheme="majorBidi" w:cstheme="majorBidi"/>
                <w:b/>
                <w:sz w:val="14"/>
                <w:szCs w:val="14"/>
              </w:rPr>
            </w:pPr>
            <w:r w:rsidRPr="006A79FD">
              <w:rPr>
                <w:rFonts w:asciiTheme="majorBidi" w:eastAsia="Calibri" w:hAnsiTheme="majorBidi" w:cstheme="majorBidi"/>
                <w:b/>
                <w:sz w:val="14"/>
                <w:szCs w:val="14"/>
              </w:rPr>
              <w:t>P-Value</w:t>
            </w:r>
          </w:p>
        </w:tc>
      </w:tr>
      <w:tr w:rsidR="006A79FD" w:rsidRPr="00D40404" w:rsidTr="006A79FD">
        <w:trPr>
          <w:trHeight w:val="2017"/>
          <w:jc w:val="center"/>
        </w:trPr>
        <w:tc>
          <w:tcPr>
            <w:tcW w:w="1418" w:type="dxa"/>
            <w:tcBorders>
              <w:top w:val="single" w:sz="12" w:space="0" w:color="auto"/>
              <w:left w:val="single" w:sz="12" w:space="0" w:color="auto"/>
              <w:bottom w:val="single" w:sz="6" w:space="0" w:color="auto"/>
              <w:right w:val="single" w:sz="6" w:space="0" w:color="auto"/>
            </w:tcBorders>
            <w:hideMark/>
          </w:tcPr>
          <w:p w:rsidR="006A79FD" w:rsidRPr="006A79FD" w:rsidRDefault="006A79FD" w:rsidP="006A79FD">
            <w:pPr>
              <w:rPr>
                <w:rFonts w:asciiTheme="majorBidi" w:eastAsia="Calibri" w:hAnsiTheme="majorBidi" w:cstheme="majorBidi"/>
                <w:b/>
              </w:rPr>
            </w:pPr>
            <w:r w:rsidRPr="006A79FD">
              <w:rPr>
                <w:rFonts w:asciiTheme="majorBidi" w:eastAsia="Calibri" w:hAnsiTheme="majorBidi" w:cstheme="majorBidi"/>
                <w:b/>
              </w:rPr>
              <w:t>Endometrial thickness on day of hCG in cases who got pregnant</w:t>
            </w:r>
          </w:p>
        </w:tc>
        <w:tc>
          <w:tcPr>
            <w:tcW w:w="1134" w:type="dxa"/>
            <w:tcBorders>
              <w:top w:val="single" w:sz="12" w:space="0" w:color="auto"/>
              <w:left w:val="single" w:sz="6"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(n=15)</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6.99 ± 2.23</w:t>
            </w:r>
          </w:p>
        </w:tc>
        <w:tc>
          <w:tcPr>
            <w:tcW w:w="850" w:type="dxa"/>
            <w:tcBorders>
              <w:top w:val="single" w:sz="12" w:space="0" w:color="auto"/>
              <w:left w:val="single" w:sz="6"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(n=27)</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8.98 ± 2.99</w:t>
            </w:r>
          </w:p>
        </w:tc>
        <w:tc>
          <w:tcPr>
            <w:tcW w:w="851" w:type="dxa"/>
            <w:tcBorders>
              <w:top w:val="single" w:sz="12" w:space="0" w:color="auto"/>
              <w:left w:val="single" w:sz="6"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(n=28)</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9.21 ± 2.59</w:t>
            </w:r>
          </w:p>
        </w:tc>
        <w:tc>
          <w:tcPr>
            <w:tcW w:w="567" w:type="dxa"/>
            <w:tcBorders>
              <w:top w:val="single" w:sz="12" w:space="0" w:color="auto"/>
              <w:left w:val="single" w:sz="6" w:space="0" w:color="auto"/>
              <w:bottom w:val="single" w:sz="6" w:space="0" w:color="auto"/>
              <w:right w:val="single" w:sz="6" w:space="0" w:color="auto"/>
            </w:tcBorders>
          </w:tcPr>
          <w:p w:rsidR="006A79FD" w:rsidRPr="006A79FD" w:rsidRDefault="006A79FD" w:rsidP="006A79FD">
            <w:pPr>
              <w:jc w:val="center"/>
              <w:rPr>
                <w:rFonts w:asciiTheme="majorBidi" w:eastAsia="Calibri" w:hAnsiTheme="majorBidi" w:cstheme="majorBidi"/>
                <w:b/>
              </w:rPr>
            </w:pP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4.66</w:t>
            </w:r>
          </w:p>
        </w:tc>
        <w:tc>
          <w:tcPr>
            <w:tcW w:w="602" w:type="dxa"/>
            <w:tcBorders>
              <w:top w:val="single" w:sz="12" w:space="0" w:color="auto"/>
              <w:left w:val="single" w:sz="6" w:space="0" w:color="auto"/>
              <w:bottom w:val="single" w:sz="6" w:space="0" w:color="auto"/>
              <w:right w:val="single" w:sz="12" w:space="0" w:color="auto"/>
            </w:tcBorders>
          </w:tcPr>
          <w:p w:rsidR="006A79FD" w:rsidRPr="006A79FD" w:rsidRDefault="006A79FD" w:rsidP="006A79FD">
            <w:pPr>
              <w:jc w:val="center"/>
              <w:rPr>
                <w:rFonts w:asciiTheme="majorBidi" w:eastAsia="Calibri" w:hAnsiTheme="majorBidi" w:cstheme="majorBidi"/>
                <w:b/>
              </w:rPr>
            </w:pP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0.01*</w:t>
            </w:r>
          </w:p>
        </w:tc>
      </w:tr>
      <w:tr w:rsidR="006A79FD" w:rsidRPr="00D40404" w:rsidTr="006A79FD">
        <w:trPr>
          <w:trHeight w:val="2017"/>
          <w:jc w:val="center"/>
        </w:trPr>
        <w:tc>
          <w:tcPr>
            <w:tcW w:w="1418" w:type="dxa"/>
            <w:tcBorders>
              <w:top w:val="single" w:sz="6" w:space="0" w:color="auto"/>
              <w:left w:val="single" w:sz="12" w:space="0" w:color="auto"/>
              <w:bottom w:val="single" w:sz="12" w:space="0" w:color="auto"/>
              <w:right w:val="single" w:sz="6" w:space="0" w:color="auto"/>
            </w:tcBorders>
            <w:hideMark/>
          </w:tcPr>
          <w:p w:rsidR="006A79FD" w:rsidRPr="006A79FD" w:rsidRDefault="006A79FD" w:rsidP="006A79FD">
            <w:pPr>
              <w:rPr>
                <w:rFonts w:asciiTheme="majorBidi" w:eastAsia="Calibri" w:hAnsiTheme="majorBidi" w:cstheme="majorBidi"/>
                <w:b/>
              </w:rPr>
            </w:pPr>
            <w:r w:rsidRPr="006A79FD">
              <w:rPr>
                <w:rFonts w:asciiTheme="majorBidi" w:eastAsia="Calibri" w:hAnsiTheme="majorBidi" w:cstheme="majorBidi"/>
                <w:b/>
              </w:rPr>
              <w:t xml:space="preserve">Endometrial thickness on day of hCG in cases who did not get pregnant </w:t>
            </w:r>
          </w:p>
        </w:tc>
        <w:tc>
          <w:tcPr>
            <w:tcW w:w="1134" w:type="dxa"/>
            <w:tcBorders>
              <w:top w:val="single" w:sz="6"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(n=65)</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4.78 ± 1.59</w:t>
            </w:r>
          </w:p>
        </w:tc>
        <w:tc>
          <w:tcPr>
            <w:tcW w:w="850" w:type="dxa"/>
            <w:tcBorders>
              <w:top w:val="single" w:sz="6"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(n=50)</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8.63 ± 1.25</w:t>
            </w:r>
          </w:p>
        </w:tc>
        <w:tc>
          <w:tcPr>
            <w:tcW w:w="851" w:type="dxa"/>
            <w:tcBorders>
              <w:top w:val="single" w:sz="6"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(n=51)</w:t>
            </w: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8.99 ± 2.99</w:t>
            </w:r>
          </w:p>
        </w:tc>
        <w:tc>
          <w:tcPr>
            <w:tcW w:w="567" w:type="dxa"/>
            <w:tcBorders>
              <w:top w:val="single" w:sz="6" w:space="0" w:color="auto"/>
              <w:left w:val="single" w:sz="6" w:space="0" w:color="auto"/>
              <w:bottom w:val="single" w:sz="12" w:space="0" w:color="auto"/>
              <w:right w:val="single" w:sz="6" w:space="0" w:color="auto"/>
            </w:tcBorders>
          </w:tcPr>
          <w:p w:rsidR="006A79FD" w:rsidRPr="006A79FD" w:rsidRDefault="006A79FD" w:rsidP="006A79FD">
            <w:pPr>
              <w:jc w:val="center"/>
              <w:rPr>
                <w:rFonts w:asciiTheme="majorBidi" w:eastAsia="Calibri" w:hAnsiTheme="majorBidi" w:cstheme="majorBidi"/>
                <w:b/>
              </w:rPr>
            </w:pP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92.78</w:t>
            </w:r>
          </w:p>
        </w:tc>
        <w:tc>
          <w:tcPr>
            <w:tcW w:w="602" w:type="dxa"/>
            <w:tcBorders>
              <w:top w:val="single" w:sz="6" w:space="0" w:color="auto"/>
              <w:left w:val="single" w:sz="6" w:space="0" w:color="auto"/>
              <w:bottom w:val="single" w:sz="12" w:space="0" w:color="auto"/>
              <w:right w:val="single" w:sz="12" w:space="0" w:color="auto"/>
            </w:tcBorders>
          </w:tcPr>
          <w:p w:rsidR="006A79FD" w:rsidRPr="006A79FD" w:rsidRDefault="006A79FD" w:rsidP="006A79FD">
            <w:pPr>
              <w:jc w:val="center"/>
              <w:rPr>
                <w:rFonts w:asciiTheme="majorBidi" w:eastAsia="Calibri" w:hAnsiTheme="majorBidi" w:cstheme="majorBidi"/>
                <w:b/>
              </w:rPr>
            </w:pPr>
          </w:p>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&lt;0.001**</w:t>
            </w:r>
          </w:p>
        </w:tc>
      </w:tr>
      <w:tr w:rsidR="006A79FD" w:rsidRPr="00D40404" w:rsidTr="006A79FD">
        <w:trPr>
          <w:trHeight w:val="258"/>
          <w:jc w:val="center"/>
        </w:trPr>
        <w:tc>
          <w:tcPr>
            <w:tcW w:w="1418" w:type="dxa"/>
            <w:tcBorders>
              <w:top w:val="single" w:sz="12" w:space="0" w:color="auto"/>
              <w:left w:val="single" w:sz="12"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lang w:bidi="ar-EG"/>
              </w:rPr>
            </w:pPr>
            <w:r w:rsidRPr="006A79FD">
              <w:rPr>
                <w:rFonts w:asciiTheme="majorBidi" w:eastAsia="Calibri" w:hAnsiTheme="majorBidi" w:cstheme="majorBidi"/>
                <w:b/>
                <w:lang w:bidi="ar-EG"/>
              </w:rPr>
              <w:t>t test</w:t>
            </w:r>
          </w:p>
        </w:tc>
        <w:tc>
          <w:tcPr>
            <w:tcW w:w="1134" w:type="dxa"/>
            <w:tcBorders>
              <w:top w:val="single" w:sz="12" w:space="0" w:color="auto"/>
              <w:left w:val="single" w:sz="6"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4.99</w:t>
            </w:r>
          </w:p>
        </w:tc>
        <w:tc>
          <w:tcPr>
            <w:tcW w:w="850" w:type="dxa"/>
            <w:tcBorders>
              <w:top w:val="single" w:sz="12" w:space="0" w:color="auto"/>
              <w:left w:val="single" w:sz="6" w:space="0" w:color="auto"/>
              <w:bottom w:val="single" w:sz="6"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0.80</w:t>
            </w:r>
          </w:p>
        </w:tc>
        <w:tc>
          <w:tcPr>
            <w:tcW w:w="851" w:type="dxa"/>
            <w:tcBorders>
              <w:top w:val="single" w:sz="12" w:space="0" w:color="auto"/>
              <w:left w:val="single" w:sz="6" w:space="0" w:color="auto"/>
              <w:bottom w:val="single" w:sz="6" w:space="0" w:color="auto"/>
              <w:right w:val="single" w:sz="12"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0.38</w:t>
            </w:r>
          </w:p>
        </w:tc>
        <w:tc>
          <w:tcPr>
            <w:tcW w:w="1169" w:type="dxa"/>
            <w:gridSpan w:val="2"/>
            <w:vMerge w:val="restart"/>
            <w:tcBorders>
              <w:top w:val="single" w:sz="6" w:space="0" w:color="auto"/>
              <w:left w:val="single" w:sz="12" w:space="0" w:color="auto"/>
              <w:bottom w:val="single" w:sz="12" w:space="0" w:color="auto"/>
              <w:right w:val="nil"/>
            </w:tcBorders>
          </w:tcPr>
          <w:p w:rsidR="006A79FD" w:rsidRPr="006A79FD" w:rsidRDefault="006A79FD" w:rsidP="006A79FD">
            <w:pPr>
              <w:rPr>
                <w:rFonts w:asciiTheme="majorBidi" w:eastAsia="Calibri" w:hAnsiTheme="majorBidi" w:cstheme="majorBidi"/>
                <w:b/>
              </w:rPr>
            </w:pPr>
          </w:p>
        </w:tc>
      </w:tr>
      <w:tr w:rsidR="006A79FD" w:rsidRPr="00D40404" w:rsidTr="006A79FD">
        <w:trPr>
          <w:trHeight w:val="54"/>
          <w:jc w:val="center"/>
        </w:trPr>
        <w:tc>
          <w:tcPr>
            <w:tcW w:w="1418" w:type="dxa"/>
            <w:tcBorders>
              <w:top w:val="single" w:sz="6" w:space="0" w:color="auto"/>
              <w:left w:val="single" w:sz="12"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lang w:bidi="ar-EG"/>
              </w:rPr>
            </w:pPr>
            <w:r w:rsidRPr="006A79FD">
              <w:rPr>
                <w:rFonts w:asciiTheme="majorBidi" w:eastAsia="Calibri" w:hAnsiTheme="majorBidi" w:cstheme="majorBidi"/>
                <w:b/>
                <w:lang w:bidi="ar-EG"/>
              </w:rPr>
              <w:t>P-value</w:t>
            </w:r>
          </w:p>
        </w:tc>
        <w:tc>
          <w:tcPr>
            <w:tcW w:w="1134" w:type="dxa"/>
            <w:tcBorders>
              <w:top w:val="single" w:sz="6"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&lt;0.001**</w:t>
            </w:r>
          </w:p>
        </w:tc>
        <w:tc>
          <w:tcPr>
            <w:tcW w:w="850" w:type="dxa"/>
            <w:tcBorders>
              <w:top w:val="single" w:sz="6" w:space="0" w:color="auto"/>
              <w:left w:val="single" w:sz="6" w:space="0" w:color="auto"/>
              <w:bottom w:val="single" w:sz="12" w:space="0" w:color="auto"/>
              <w:right w:val="single" w:sz="6"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0.42 NS</w:t>
            </w:r>
          </w:p>
        </w:tc>
        <w:tc>
          <w:tcPr>
            <w:tcW w:w="851" w:type="dxa"/>
            <w:tcBorders>
              <w:top w:val="single" w:sz="6" w:space="0" w:color="auto"/>
              <w:left w:val="single" w:sz="6" w:space="0" w:color="auto"/>
              <w:bottom w:val="single" w:sz="12" w:space="0" w:color="auto"/>
              <w:right w:val="single" w:sz="12" w:space="0" w:color="auto"/>
            </w:tcBorders>
            <w:hideMark/>
          </w:tcPr>
          <w:p w:rsidR="006A79FD" w:rsidRPr="006A79FD" w:rsidRDefault="006A79FD" w:rsidP="006A79FD">
            <w:pPr>
              <w:jc w:val="center"/>
              <w:rPr>
                <w:rFonts w:asciiTheme="majorBidi" w:eastAsia="Calibri" w:hAnsiTheme="majorBidi" w:cstheme="majorBidi"/>
                <w:b/>
              </w:rPr>
            </w:pPr>
            <w:r w:rsidRPr="006A79FD">
              <w:rPr>
                <w:rFonts w:asciiTheme="majorBidi" w:eastAsia="Calibri" w:hAnsiTheme="majorBidi" w:cstheme="majorBidi"/>
                <w:b/>
              </w:rPr>
              <w:t>0.70 NS</w:t>
            </w:r>
          </w:p>
        </w:tc>
        <w:tc>
          <w:tcPr>
            <w:tcW w:w="1169" w:type="dxa"/>
            <w:gridSpan w:val="2"/>
            <w:vMerge/>
            <w:tcBorders>
              <w:top w:val="single" w:sz="6" w:space="0" w:color="auto"/>
              <w:left w:val="single" w:sz="6" w:space="0" w:color="auto"/>
              <w:bottom w:val="single" w:sz="12" w:space="0" w:color="auto"/>
              <w:right w:val="single" w:sz="12" w:space="0" w:color="auto"/>
            </w:tcBorders>
            <w:vAlign w:val="center"/>
            <w:hideMark/>
          </w:tcPr>
          <w:p w:rsidR="006A79FD" w:rsidRPr="006A79FD" w:rsidRDefault="006A79FD" w:rsidP="006A79FD">
            <w:pPr>
              <w:rPr>
                <w:rFonts w:asciiTheme="majorBidi" w:eastAsia="Calibri" w:hAnsiTheme="majorBidi" w:cstheme="majorBidi"/>
                <w:b/>
              </w:rPr>
            </w:pPr>
          </w:p>
        </w:tc>
      </w:tr>
    </w:tbl>
    <w:p w:rsidR="005973B9" w:rsidRPr="00D40404" w:rsidRDefault="005973B9" w:rsidP="006C0432">
      <w:pPr>
        <w:spacing w:line="204" w:lineRule="exact"/>
        <w:rPr>
          <w:rFonts w:asciiTheme="majorBidi" w:hAnsiTheme="majorBidi" w:cstheme="majorBidi"/>
          <w:b/>
          <w:sz w:val="20"/>
        </w:rPr>
      </w:pPr>
      <w:r w:rsidRPr="00D40404">
        <w:rPr>
          <w:rFonts w:asciiTheme="majorBidi" w:hAnsiTheme="majorBidi" w:cstheme="majorBidi"/>
          <w:b/>
          <w:sz w:val="20"/>
        </w:rPr>
        <w:t xml:space="preserve">Recent Publications </w:t>
      </w:r>
    </w:p>
    <w:p w:rsidR="00A9649F" w:rsidRPr="00D40404" w:rsidRDefault="00A9649F" w:rsidP="00A9649F">
      <w:pPr>
        <w:pStyle w:val="ListParagraph"/>
        <w:numPr>
          <w:ilvl w:val="0"/>
          <w:numId w:val="3"/>
        </w:numPr>
        <w:rPr>
          <w:rFonts w:asciiTheme="majorBidi" w:hAnsiTheme="majorBidi" w:cstheme="majorBidi"/>
          <w:b/>
          <w:sz w:val="16"/>
          <w:szCs w:val="16"/>
        </w:rPr>
      </w:pPr>
      <w:r w:rsidRPr="00D40404">
        <w:rPr>
          <w:rFonts w:asciiTheme="majorBidi" w:hAnsiTheme="majorBidi" w:cstheme="majorBidi"/>
          <w:b/>
          <w:sz w:val="16"/>
          <w:szCs w:val="16"/>
        </w:rPr>
        <w:t>Biswas JK, Bandhu HC, Singh H, Dey M. Relation of endometrial thickness and pregnancy rates in intrauterine insemination following ovulation induction. International Journal of Reproduction, Contraception, Obstetrics and Gynecology. 2016; 5(1):110-5.</w:t>
      </w:r>
    </w:p>
    <w:p w:rsidR="00A9649F" w:rsidRPr="00D40404" w:rsidRDefault="00A9649F" w:rsidP="00A9649F">
      <w:pPr>
        <w:pStyle w:val="ListParagraph"/>
        <w:numPr>
          <w:ilvl w:val="0"/>
          <w:numId w:val="3"/>
        </w:numPr>
        <w:rPr>
          <w:rFonts w:asciiTheme="majorBidi" w:hAnsiTheme="majorBidi" w:cstheme="majorBidi"/>
          <w:b/>
          <w:sz w:val="16"/>
          <w:szCs w:val="16"/>
        </w:rPr>
      </w:pPr>
      <w:r w:rsidRPr="00D40404">
        <w:rPr>
          <w:rFonts w:asciiTheme="majorBidi" w:hAnsiTheme="majorBidi" w:cstheme="majorBidi"/>
          <w:b/>
          <w:sz w:val="16"/>
          <w:szCs w:val="16"/>
        </w:rPr>
        <w:t>Lozano DM, Lenero MV, Gonzalez RL, Scheffer JB, Gonzalez MT, Barron Y, Frydman R. Tadalafil for Endometrial Growth in Clomiphene Citrate stimulated cycles in an IUI programma: A pilot study. Facts, Views &amp; Vision in ObGyn. 2015 Dec 28</w:t>
      </w:r>
      <w:r w:rsidR="00A02E89" w:rsidRPr="00D40404">
        <w:rPr>
          <w:rFonts w:asciiTheme="majorBidi" w:hAnsiTheme="majorBidi" w:cstheme="majorBidi"/>
          <w:b/>
          <w:sz w:val="16"/>
          <w:szCs w:val="16"/>
        </w:rPr>
        <w:t>; 7</w:t>
      </w:r>
      <w:r w:rsidRPr="00D40404">
        <w:rPr>
          <w:rFonts w:asciiTheme="majorBidi" w:hAnsiTheme="majorBidi" w:cstheme="majorBidi"/>
          <w:b/>
          <w:sz w:val="16"/>
          <w:szCs w:val="16"/>
        </w:rPr>
        <w:t>(4):231.</w:t>
      </w:r>
    </w:p>
    <w:p w:rsidR="005973B9" w:rsidRPr="00D40404" w:rsidRDefault="00516A76" w:rsidP="00516A76">
      <w:pPr>
        <w:pStyle w:val="ListParagraph"/>
        <w:numPr>
          <w:ilvl w:val="0"/>
          <w:numId w:val="3"/>
        </w:numPr>
        <w:tabs>
          <w:tab w:val="left" w:pos="384"/>
        </w:tabs>
        <w:spacing w:before="92" w:line="218" w:lineRule="exact"/>
        <w:ind w:hanging="283"/>
        <w:rPr>
          <w:rFonts w:asciiTheme="majorBidi" w:hAnsiTheme="majorBidi" w:cstheme="majorBidi"/>
          <w:b/>
          <w:sz w:val="16"/>
          <w:szCs w:val="16"/>
        </w:rPr>
      </w:pPr>
      <w:r w:rsidRPr="00D40404">
        <w:rPr>
          <w:rFonts w:asciiTheme="majorBidi" w:hAnsiTheme="majorBidi" w:cstheme="majorBidi"/>
          <w:b/>
          <w:sz w:val="16"/>
          <w:szCs w:val="16"/>
          <w:lang w:val="en-GB"/>
        </w:rPr>
        <w:t>Hoffman BL, Schorge JO, Schaffer JI, Halvorson M, Bradshaw KD, Gray F. Treatment of the Infertile Couple. Williams Gynecology (2nd Ed., pp. 529-553). New York: McGraw Hill. 2012</w:t>
      </w:r>
      <w:r w:rsidR="00A02E89" w:rsidRPr="00D40404">
        <w:rPr>
          <w:rFonts w:asciiTheme="majorBidi" w:hAnsiTheme="majorBidi" w:cstheme="majorBidi"/>
          <w:b/>
          <w:sz w:val="16"/>
          <w:szCs w:val="16"/>
          <w:lang w:val="en-GB"/>
        </w:rPr>
        <w:t>.</w:t>
      </w:r>
      <w:r w:rsidR="00A02E89" w:rsidRPr="00D40404">
        <w:rPr>
          <w:rFonts w:asciiTheme="majorBidi" w:hAnsiTheme="majorBidi" w:cstheme="majorBidi"/>
          <w:b/>
          <w:sz w:val="16"/>
          <w:szCs w:val="16"/>
        </w:rPr>
        <w:t xml:space="preserve"> Room</w:t>
      </w:r>
      <w:r w:rsidR="005973B9" w:rsidRPr="00D40404">
        <w:rPr>
          <w:rFonts w:asciiTheme="majorBidi" w:hAnsiTheme="majorBidi" w:cstheme="majorBidi"/>
          <w:b/>
          <w:sz w:val="16"/>
          <w:szCs w:val="16"/>
        </w:rPr>
        <w:t xml:space="preserve"> R, Babor</w:t>
      </w:r>
      <w:r w:rsidR="005973B9" w:rsidRPr="00D40404">
        <w:rPr>
          <w:rFonts w:asciiTheme="majorBidi" w:hAnsiTheme="majorBidi" w:cstheme="majorBidi"/>
          <w:b/>
          <w:spacing w:val="-10"/>
          <w:sz w:val="16"/>
          <w:szCs w:val="16"/>
        </w:rPr>
        <w:t xml:space="preserve">T, </w:t>
      </w:r>
      <w:r w:rsidR="005973B9" w:rsidRPr="00D40404">
        <w:rPr>
          <w:rFonts w:asciiTheme="majorBidi" w:hAnsiTheme="majorBidi" w:cstheme="majorBidi"/>
          <w:b/>
          <w:sz w:val="16"/>
          <w:szCs w:val="16"/>
        </w:rPr>
        <w:t>Rehm J (2005) Alcohol and public health. Lancet</w:t>
      </w:r>
    </w:p>
    <w:p w:rsidR="005973B9" w:rsidRPr="00D40404" w:rsidRDefault="005973B9" w:rsidP="005973B9">
      <w:pPr>
        <w:pStyle w:val="BodyText"/>
        <w:spacing w:line="218" w:lineRule="exact"/>
        <w:ind w:left="383"/>
        <w:rPr>
          <w:rFonts w:asciiTheme="majorBidi" w:hAnsiTheme="majorBidi" w:cstheme="majorBidi"/>
          <w:b/>
          <w:sz w:val="16"/>
          <w:szCs w:val="16"/>
        </w:rPr>
      </w:pPr>
      <w:r w:rsidRPr="00D40404">
        <w:rPr>
          <w:rFonts w:asciiTheme="majorBidi" w:hAnsiTheme="majorBidi" w:cstheme="majorBidi"/>
          <w:b/>
          <w:sz w:val="16"/>
          <w:szCs w:val="16"/>
        </w:rPr>
        <w:t>365: 519-530.</w:t>
      </w:r>
    </w:p>
    <w:p w:rsidR="00345174" w:rsidRPr="00D40404" w:rsidRDefault="00345174" w:rsidP="00345174">
      <w:pPr>
        <w:pStyle w:val="ListParagraph"/>
        <w:numPr>
          <w:ilvl w:val="0"/>
          <w:numId w:val="3"/>
        </w:numPr>
        <w:rPr>
          <w:rFonts w:asciiTheme="majorBidi" w:eastAsia="Tw Cen MT" w:hAnsiTheme="majorBidi" w:cstheme="majorBidi"/>
          <w:b/>
          <w:sz w:val="16"/>
          <w:szCs w:val="16"/>
        </w:rPr>
      </w:pPr>
      <w:r w:rsidRPr="00D40404">
        <w:rPr>
          <w:rFonts w:asciiTheme="majorBidi" w:eastAsia="Tw Cen MT" w:hAnsiTheme="majorBidi" w:cstheme="majorBidi"/>
          <w:b/>
          <w:sz w:val="16"/>
          <w:szCs w:val="16"/>
        </w:rPr>
        <w:t>Habibzadeh V, Mahani SN, Kamyab H. The correlation of factors affecting the endometrial thickness with pregnancy outcome in the IUI cycles. Iranian journal of reproductive medicine. 2011</w:t>
      </w:r>
      <w:r w:rsidR="006A79FD" w:rsidRPr="00D40404">
        <w:rPr>
          <w:rFonts w:asciiTheme="majorBidi" w:eastAsia="Tw Cen MT" w:hAnsiTheme="majorBidi" w:cstheme="majorBidi"/>
          <w:b/>
          <w:sz w:val="16"/>
          <w:szCs w:val="16"/>
        </w:rPr>
        <w:t>; 9</w:t>
      </w:r>
      <w:r w:rsidRPr="00D40404">
        <w:rPr>
          <w:rFonts w:asciiTheme="majorBidi" w:eastAsia="Tw Cen MT" w:hAnsiTheme="majorBidi" w:cstheme="majorBidi"/>
          <w:b/>
          <w:sz w:val="16"/>
          <w:szCs w:val="16"/>
        </w:rPr>
        <w:t>(1):41.</w:t>
      </w:r>
    </w:p>
    <w:p w:rsidR="006A79FD" w:rsidRPr="00D40404" w:rsidRDefault="006A79FD" w:rsidP="006A79FD">
      <w:pPr>
        <w:pStyle w:val="BodyText"/>
        <w:numPr>
          <w:ilvl w:val="0"/>
          <w:numId w:val="3"/>
        </w:numPr>
        <w:spacing w:before="85" w:line="216" w:lineRule="exact"/>
        <w:ind w:right="138"/>
        <w:jc w:val="both"/>
        <w:rPr>
          <w:rFonts w:asciiTheme="majorBidi" w:hAnsiTheme="majorBidi" w:cstheme="majorBidi"/>
          <w:b/>
          <w:sz w:val="16"/>
          <w:szCs w:val="16"/>
        </w:rPr>
      </w:pPr>
      <w:r w:rsidRPr="00D40404">
        <w:rPr>
          <w:rFonts w:asciiTheme="majorBidi" w:hAnsiTheme="majorBidi" w:cstheme="majorBidi"/>
          <w:b/>
          <w:sz w:val="16"/>
          <w:szCs w:val="16"/>
        </w:rPr>
        <w:t>World Health Organization. WHO laboratory manual for the examination of human semen and sperm-cervical mucus interaction. 5th ed. Cambridge: Cambridge University Press; 2010.</w:t>
      </w:r>
    </w:p>
    <w:p w:rsidR="006A79FD" w:rsidRPr="00D40404" w:rsidRDefault="006A79FD" w:rsidP="006A79FD">
      <w:pPr>
        <w:pStyle w:val="BodyText"/>
        <w:numPr>
          <w:ilvl w:val="0"/>
          <w:numId w:val="3"/>
        </w:numPr>
        <w:spacing w:before="85" w:line="216" w:lineRule="exact"/>
        <w:ind w:right="138"/>
        <w:jc w:val="both"/>
        <w:rPr>
          <w:rFonts w:asciiTheme="majorBidi" w:hAnsiTheme="majorBidi" w:cstheme="majorBidi"/>
          <w:b/>
          <w:sz w:val="16"/>
          <w:szCs w:val="16"/>
        </w:rPr>
      </w:pPr>
      <w:r w:rsidRPr="00D40404">
        <w:rPr>
          <w:rFonts w:asciiTheme="majorBidi" w:hAnsiTheme="majorBidi" w:cstheme="majorBidi"/>
          <w:b/>
          <w:sz w:val="16"/>
          <w:szCs w:val="16"/>
        </w:rPr>
        <w:t>Peeraer K, Debrock S, De Loecker P, Tomassetti C, Laenen A, Welkenhuysen M, Meeuwis L, Pelckmans S, Mol BW, Spiessens C, De Neubourg D. Low-dose human menopausal gonadotrophin versus clomiphene citrate in subfertile couples treated with</w:t>
      </w:r>
      <w:r w:rsidRPr="00D40404">
        <w:rPr>
          <w:rFonts w:asciiTheme="majorBidi" w:hAnsiTheme="majorBidi" w:cstheme="majorBidi"/>
          <w:b/>
        </w:rPr>
        <w:t xml:space="preserve"> </w:t>
      </w:r>
      <w:r w:rsidRPr="00D40404">
        <w:rPr>
          <w:rFonts w:asciiTheme="majorBidi" w:hAnsiTheme="majorBidi" w:cstheme="majorBidi"/>
          <w:b/>
          <w:sz w:val="16"/>
          <w:szCs w:val="16"/>
        </w:rPr>
        <w:t>intrauterine insemination: a randomized controlled trial. Human Reproduction. 2015 Mar 18</w:t>
      </w:r>
      <w:r w:rsidR="003331EF" w:rsidRPr="00D40404">
        <w:rPr>
          <w:rFonts w:asciiTheme="majorBidi" w:hAnsiTheme="majorBidi" w:cstheme="majorBidi"/>
          <w:b/>
          <w:sz w:val="16"/>
          <w:szCs w:val="16"/>
        </w:rPr>
        <w:t>; 30</w:t>
      </w:r>
      <w:r w:rsidRPr="00D40404">
        <w:rPr>
          <w:rFonts w:asciiTheme="majorBidi" w:hAnsiTheme="majorBidi" w:cstheme="majorBidi"/>
          <w:b/>
          <w:sz w:val="16"/>
          <w:szCs w:val="16"/>
        </w:rPr>
        <w:t>(5):1079-88.</w:t>
      </w:r>
    </w:p>
    <w:p w:rsidR="00A9649F" w:rsidRPr="00D40404" w:rsidRDefault="00A9649F" w:rsidP="006A79FD">
      <w:pPr>
        <w:pStyle w:val="BodyText"/>
        <w:spacing w:before="85" w:line="216" w:lineRule="exact"/>
        <w:ind w:left="383" w:right="138"/>
        <w:jc w:val="both"/>
        <w:rPr>
          <w:rFonts w:asciiTheme="majorBidi" w:hAnsiTheme="majorBidi" w:cstheme="majorBidi"/>
          <w:b/>
        </w:rPr>
      </w:pPr>
    </w:p>
    <w:p w:rsidR="00AE3E37" w:rsidRPr="00D40404" w:rsidRDefault="00AE3E37" w:rsidP="008756E6">
      <w:pPr>
        <w:tabs>
          <w:tab w:val="left" w:pos="384"/>
        </w:tabs>
        <w:ind w:right="117"/>
        <w:rPr>
          <w:rFonts w:asciiTheme="majorBidi" w:hAnsiTheme="majorBidi" w:cstheme="majorBidi"/>
          <w:b/>
        </w:rPr>
      </w:pPr>
    </w:p>
    <w:p w:rsidR="00AE3E37" w:rsidRPr="00D40404" w:rsidRDefault="008756E6">
      <w:pPr>
        <w:spacing w:line="200" w:lineRule="exact"/>
        <w:jc w:val="both"/>
        <w:rPr>
          <w:rFonts w:asciiTheme="majorBidi" w:hAnsiTheme="majorBidi" w:cstheme="majorBidi"/>
          <w:b/>
        </w:rPr>
        <w:sectPr w:rsidR="00AE3E37" w:rsidRPr="00D40404">
          <w:type w:val="continuous"/>
          <w:pgSz w:w="11910" w:h="16840"/>
          <w:pgMar w:top="1740" w:right="600" w:bottom="840" w:left="620" w:header="720" w:footer="720" w:gutter="0"/>
          <w:cols w:num="2" w:space="720" w:equalWidth="0">
            <w:col w:w="5214" w:space="138"/>
            <w:col w:w="5338"/>
          </w:cols>
        </w:sectPr>
      </w:pPr>
      <w:r w:rsidRPr="00D40404">
        <w:rPr>
          <w:rFonts w:asciiTheme="majorBidi" w:hAnsiTheme="majorBidi" w:cstheme="majorBidi"/>
          <w:b/>
        </w:rPr>
        <w:t xml:space="preserve">   </w:t>
      </w:r>
    </w:p>
    <w:p w:rsidR="00AE3E37" w:rsidRPr="00D40404" w:rsidRDefault="00AE3E37">
      <w:pPr>
        <w:pStyle w:val="BodyText"/>
        <w:rPr>
          <w:rFonts w:asciiTheme="majorBidi" w:hAnsiTheme="majorBidi" w:cstheme="majorBidi"/>
          <w:b/>
          <w:sz w:val="20"/>
        </w:rPr>
      </w:pPr>
    </w:p>
    <w:p w:rsidR="00AE3E37" w:rsidRPr="00D40404" w:rsidRDefault="00292ED9">
      <w:pPr>
        <w:pStyle w:val="BodyText"/>
        <w:spacing w:line="40" w:lineRule="exact"/>
        <w:ind w:left="2202"/>
        <w:rPr>
          <w:rFonts w:asciiTheme="majorBidi" w:hAnsiTheme="majorBidi" w:cstheme="majorBidi"/>
          <w:b/>
          <w:sz w:val="4"/>
        </w:rPr>
      </w:pPr>
      <w:r w:rsidRPr="00D40404">
        <w:rPr>
          <w:rFonts w:asciiTheme="majorBidi" w:hAnsiTheme="majorBidi" w:cstheme="majorBidi"/>
          <w:b/>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9204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D40404" w:rsidRDefault="008756E6" w:rsidP="003331EF">
      <w:pPr>
        <w:spacing w:before="92"/>
        <w:ind w:right="4234"/>
        <w:rPr>
          <w:rFonts w:asciiTheme="majorBidi" w:hAnsiTheme="majorBidi" w:cstheme="majorBidi"/>
          <w:b/>
        </w:rPr>
      </w:pPr>
      <w:r w:rsidRPr="00D40404">
        <w:rPr>
          <w:rFonts w:asciiTheme="majorBidi" w:hAnsiTheme="majorBidi" w:cstheme="majorBidi"/>
          <w:b/>
          <w:noProof/>
        </w:rPr>
        <w:t xml:space="preserve">              </w:t>
      </w:r>
      <w:r w:rsidR="001057E1" w:rsidRPr="00D40404">
        <w:rPr>
          <w:rFonts w:asciiTheme="majorBidi" w:hAnsiTheme="majorBidi" w:cstheme="majorBidi"/>
          <w:noProof/>
        </w:rPr>
        <w:drawing>
          <wp:inline distT="0" distB="0" distL="0" distR="0" wp14:anchorId="3CB692A1" wp14:editId="4323FE09">
            <wp:extent cx="797133" cy="1025526"/>
            <wp:effectExtent l="0" t="0" r="3175" b="3175"/>
            <wp:docPr id="1" name="Picture 1" descr="C:\Users\jasmin9152\Downloads\scan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smin9152\Downloads\scan001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355" t="4041" r="498" b="13113"/>
                    <a:stretch/>
                  </pic:blipFill>
                  <pic:spPr bwMode="auto">
                    <a:xfrm>
                      <a:off x="0" y="0"/>
                      <a:ext cx="811431" cy="1043920"/>
                    </a:xfrm>
                    <a:prstGeom prst="rect">
                      <a:avLst/>
                    </a:prstGeom>
                    <a:noFill/>
                    <a:ln>
                      <a:noFill/>
                    </a:ln>
                    <a:extLst>
                      <a:ext uri="{53640926-AAD7-44D8-BBD7-CCE9431645EC}">
                        <a14:shadowObscured xmlns:a14="http://schemas.microsoft.com/office/drawing/2010/main"/>
                      </a:ext>
                    </a:extLst>
                  </pic:spPr>
                </pic:pic>
              </a:graphicData>
            </a:graphic>
          </wp:inline>
        </w:drawing>
      </w:r>
      <w:r w:rsidR="00A9710C" w:rsidRPr="00D40404">
        <w:rPr>
          <w:rFonts w:asciiTheme="majorBidi" w:hAnsiTheme="majorBidi" w:cstheme="majorBidi"/>
          <w:b/>
        </w:rPr>
        <w:t>Biography</w:t>
      </w:r>
      <w:r w:rsidR="00404E5B" w:rsidRPr="00D40404">
        <w:rPr>
          <w:rFonts w:asciiTheme="majorBidi" w:hAnsiTheme="majorBidi" w:cstheme="majorBidi"/>
          <w:b/>
        </w:rPr>
        <w:t xml:space="preserve"> </w:t>
      </w:r>
    </w:p>
    <w:p w:rsidR="003331EF" w:rsidRPr="003331EF" w:rsidRDefault="001057E1" w:rsidP="009819FB">
      <w:pPr>
        <w:widowControl/>
        <w:tabs>
          <w:tab w:val="left" w:pos="1688"/>
          <w:tab w:val="left" w:pos="2331"/>
          <w:tab w:val="center" w:pos="4770"/>
        </w:tabs>
        <w:spacing w:after="200"/>
        <w:jc w:val="both"/>
        <w:rPr>
          <w:rFonts w:asciiTheme="majorBidi" w:eastAsia="Calibri" w:hAnsiTheme="majorBidi" w:cstheme="majorBidi"/>
          <w:bCs/>
          <w:sz w:val="28"/>
          <w:szCs w:val="28"/>
        </w:rPr>
      </w:pPr>
      <w:r w:rsidRPr="00D40404">
        <w:rPr>
          <w:rFonts w:asciiTheme="majorBidi" w:eastAsia="Times New Roman" w:hAnsiTheme="majorBidi" w:cstheme="majorBidi"/>
          <w:b/>
          <w:sz w:val="28"/>
          <w:szCs w:val="28"/>
        </w:rPr>
        <w:t xml:space="preserve">Dr. </w:t>
      </w:r>
      <w:r w:rsidR="003331EF" w:rsidRPr="00D40404">
        <w:rPr>
          <w:rFonts w:asciiTheme="majorBidi" w:eastAsia="Times New Roman" w:hAnsiTheme="majorBidi" w:cstheme="majorBidi"/>
          <w:b/>
          <w:sz w:val="28"/>
          <w:szCs w:val="28"/>
        </w:rPr>
        <w:t>Islam Mohamed Magdi Ammar</w:t>
      </w:r>
      <w:r w:rsidR="003331EF" w:rsidRPr="003331EF">
        <w:rPr>
          <w:rFonts w:asciiTheme="majorBidi" w:eastAsia="Calibri" w:hAnsiTheme="majorBidi" w:cstheme="majorBidi"/>
          <w:bCs/>
          <w:sz w:val="28"/>
          <w:szCs w:val="28"/>
        </w:rPr>
        <w:t xml:space="preserve"> is</w:t>
      </w:r>
      <w:r w:rsidRPr="00D40404">
        <w:rPr>
          <w:rFonts w:asciiTheme="majorBidi" w:eastAsia="Calibri" w:hAnsiTheme="majorBidi" w:cstheme="majorBidi"/>
          <w:bCs/>
          <w:sz w:val="28"/>
          <w:szCs w:val="28"/>
        </w:rPr>
        <w:t xml:space="preserve"> an </w:t>
      </w:r>
      <w:r w:rsidR="003331EF" w:rsidRPr="00D40404">
        <w:rPr>
          <w:rFonts w:asciiTheme="majorBidi" w:eastAsia="Calibri" w:hAnsiTheme="majorBidi" w:cstheme="majorBidi"/>
          <w:bCs/>
          <w:sz w:val="28"/>
          <w:szCs w:val="28"/>
        </w:rPr>
        <w:t xml:space="preserve">assistant professor </w:t>
      </w:r>
      <w:r w:rsidR="003331EF" w:rsidRPr="003331EF">
        <w:rPr>
          <w:rFonts w:asciiTheme="majorBidi" w:eastAsia="Calibri" w:hAnsiTheme="majorBidi" w:cstheme="majorBidi"/>
          <w:bCs/>
          <w:sz w:val="28"/>
          <w:szCs w:val="28"/>
        </w:rPr>
        <w:t xml:space="preserve">and Consultant of Obstetrics and Gynecology, Faculty of Medicine, Zagazig University, Egypt. He had Bachelor degree (MB Bch) in Medicine and Surgery, Master (M.Sc.) and Doctorate </w:t>
      </w:r>
      <w:r w:rsidRPr="003331EF">
        <w:rPr>
          <w:rFonts w:asciiTheme="majorBidi" w:eastAsia="Calibri" w:hAnsiTheme="majorBidi" w:cstheme="majorBidi"/>
          <w:bCs/>
          <w:sz w:val="28"/>
          <w:szCs w:val="28"/>
        </w:rPr>
        <w:t>(M</w:t>
      </w:r>
      <w:r w:rsidRPr="00D40404">
        <w:rPr>
          <w:rFonts w:asciiTheme="majorBidi" w:eastAsia="Calibri" w:hAnsiTheme="majorBidi" w:cstheme="majorBidi"/>
          <w:bCs/>
          <w:sz w:val="28"/>
          <w:szCs w:val="28"/>
        </w:rPr>
        <w:t>.</w:t>
      </w:r>
      <w:r w:rsidRPr="003331EF">
        <w:rPr>
          <w:rFonts w:asciiTheme="majorBidi" w:eastAsia="Calibri" w:hAnsiTheme="majorBidi" w:cstheme="majorBidi"/>
          <w:bCs/>
          <w:sz w:val="28"/>
          <w:szCs w:val="28"/>
        </w:rPr>
        <w:t>D</w:t>
      </w:r>
      <w:r w:rsidRPr="00D40404">
        <w:rPr>
          <w:rFonts w:asciiTheme="majorBidi" w:eastAsia="Calibri" w:hAnsiTheme="majorBidi" w:cstheme="majorBidi"/>
          <w:bCs/>
          <w:sz w:val="28"/>
          <w:szCs w:val="28"/>
        </w:rPr>
        <w:t>.</w:t>
      </w:r>
      <w:r w:rsidRPr="003331EF">
        <w:rPr>
          <w:rFonts w:asciiTheme="majorBidi" w:eastAsia="Calibri" w:hAnsiTheme="majorBidi" w:cstheme="majorBidi"/>
          <w:bCs/>
          <w:sz w:val="28"/>
          <w:szCs w:val="28"/>
        </w:rPr>
        <w:t xml:space="preserve">) </w:t>
      </w:r>
      <w:r w:rsidR="003331EF" w:rsidRPr="003331EF">
        <w:rPr>
          <w:rFonts w:asciiTheme="majorBidi" w:eastAsia="Calibri" w:hAnsiTheme="majorBidi" w:cstheme="majorBidi"/>
          <w:bCs/>
          <w:sz w:val="28"/>
          <w:szCs w:val="28"/>
        </w:rPr>
        <w:t>degrees in Obstetrics and Gynecology from the previously mentioned institute.</w:t>
      </w:r>
      <w:r w:rsidR="003331EF" w:rsidRPr="00D40404">
        <w:rPr>
          <w:rFonts w:asciiTheme="majorBidi" w:eastAsia="Calibri" w:hAnsiTheme="majorBidi" w:cstheme="majorBidi"/>
          <w:bCs/>
          <w:sz w:val="28"/>
          <w:szCs w:val="28"/>
        </w:rPr>
        <w:t xml:space="preserve"> He had a fellowship in assisted reproductive technology from the World Laparoscopy Hospital-Delhi. </w:t>
      </w:r>
      <w:r w:rsidR="003331EF" w:rsidRPr="003331EF">
        <w:rPr>
          <w:rFonts w:asciiTheme="majorBidi" w:eastAsia="Calibri" w:hAnsiTheme="majorBidi" w:cstheme="majorBidi"/>
          <w:bCs/>
          <w:sz w:val="28"/>
          <w:szCs w:val="28"/>
        </w:rPr>
        <w:t>His field of interest is reproductive endocrinology and gynecological endoscopy.</w:t>
      </w:r>
      <w:r w:rsidRPr="00D40404">
        <w:rPr>
          <w:rFonts w:asciiTheme="majorBidi" w:eastAsia="Calibri" w:hAnsiTheme="majorBidi" w:cstheme="majorBidi"/>
          <w:bCs/>
          <w:sz w:val="28"/>
          <w:szCs w:val="28"/>
        </w:rPr>
        <w:t xml:space="preserve"> He is currently working as a consultant </w:t>
      </w:r>
      <w:r w:rsidR="009819FB" w:rsidRPr="00D40404">
        <w:rPr>
          <w:rFonts w:asciiTheme="majorBidi" w:eastAsia="Calibri" w:hAnsiTheme="majorBidi" w:cstheme="majorBidi"/>
          <w:bCs/>
          <w:sz w:val="28"/>
          <w:szCs w:val="28"/>
        </w:rPr>
        <w:t>of Obstetrics</w:t>
      </w:r>
      <w:r w:rsidRPr="003331EF">
        <w:rPr>
          <w:rFonts w:asciiTheme="majorBidi" w:eastAsia="Calibri" w:hAnsiTheme="majorBidi" w:cstheme="majorBidi"/>
          <w:bCs/>
          <w:sz w:val="28"/>
          <w:szCs w:val="28"/>
        </w:rPr>
        <w:t xml:space="preserve"> and Gynecology</w:t>
      </w:r>
      <w:r w:rsidRPr="00D40404">
        <w:rPr>
          <w:rFonts w:asciiTheme="majorBidi" w:eastAsia="Calibri" w:hAnsiTheme="majorBidi" w:cstheme="majorBidi"/>
          <w:bCs/>
          <w:sz w:val="28"/>
          <w:szCs w:val="28"/>
        </w:rPr>
        <w:t xml:space="preserve"> at the Saudi German Hospital, Medina, </w:t>
      </w:r>
      <w:r w:rsidR="009819FB">
        <w:rPr>
          <w:rFonts w:asciiTheme="majorBidi" w:eastAsia="Calibri" w:hAnsiTheme="majorBidi" w:cstheme="majorBidi"/>
          <w:bCs/>
          <w:sz w:val="28"/>
          <w:szCs w:val="28"/>
        </w:rPr>
        <w:t>Saudi Arabia</w:t>
      </w:r>
      <w:bookmarkStart w:id="0" w:name="_GoBack"/>
      <w:bookmarkEnd w:id="0"/>
      <w:r w:rsidRPr="00D40404">
        <w:rPr>
          <w:rFonts w:asciiTheme="majorBidi" w:eastAsia="Calibri" w:hAnsiTheme="majorBidi" w:cstheme="majorBidi"/>
          <w:bCs/>
          <w:sz w:val="28"/>
          <w:szCs w:val="28"/>
        </w:rPr>
        <w:t>.</w:t>
      </w:r>
    </w:p>
    <w:p w:rsidR="003331EF" w:rsidRPr="00D40404" w:rsidRDefault="003331EF" w:rsidP="003331EF">
      <w:pPr>
        <w:tabs>
          <w:tab w:val="left" w:pos="1688"/>
          <w:tab w:val="left" w:pos="2331"/>
          <w:tab w:val="center" w:pos="4770"/>
        </w:tabs>
        <w:jc w:val="both"/>
        <w:rPr>
          <w:rFonts w:asciiTheme="majorBidi" w:eastAsia="Times New Roman" w:hAnsiTheme="majorBidi" w:cstheme="majorBidi"/>
          <w:sz w:val="28"/>
          <w:szCs w:val="28"/>
          <w:lang w:eastAsia="ar-SA"/>
        </w:rPr>
      </w:pPr>
      <w:r w:rsidRPr="00D40404">
        <w:rPr>
          <w:rFonts w:asciiTheme="majorBidi" w:eastAsia="Times New Roman" w:hAnsiTheme="majorBidi" w:cstheme="majorBidi"/>
          <w:sz w:val="28"/>
          <w:szCs w:val="28"/>
          <w:lang w:eastAsia="ar-SA"/>
        </w:rPr>
        <w:t>Phone: +</w:t>
      </w:r>
      <w:r w:rsidRPr="00D40404">
        <w:rPr>
          <w:rFonts w:asciiTheme="majorBidi" w:eastAsia="Times New Roman" w:hAnsiTheme="majorBidi" w:cstheme="majorBidi"/>
          <w:sz w:val="28"/>
          <w:szCs w:val="28"/>
          <w:lang w:eastAsia="ar-SA"/>
        </w:rPr>
        <w:t>966531482882</w:t>
      </w:r>
    </w:p>
    <w:p w:rsidR="003331EF" w:rsidRPr="00D40404" w:rsidRDefault="003331EF" w:rsidP="003331EF">
      <w:pPr>
        <w:tabs>
          <w:tab w:val="left" w:pos="1688"/>
          <w:tab w:val="left" w:pos="2331"/>
          <w:tab w:val="center" w:pos="4770"/>
        </w:tabs>
        <w:jc w:val="both"/>
        <w:rPr>
          <w:rFonts w:asciiTheme="majorBidi" w:eastAsia="Times New Roman" w:hAnsiTheme="majorBidi" w:cstheme="majorBidi"/>
          <w:sz w:val="28"/>
          <w:szCs w:val="28"/>
          <w:lang w:eastAsia="ar-SA"/>
        </w:rPr>
      </w:pPr>
      <w:r w:rsidRPr="00D40404">
        <w:rPr>
          <w:rFonts w:asciiTheme="majorBidi" w:eastAsia="Times New Roman" w:hAnsiTheme="majorBidi" w:cstheme="majorBidi"/>
          <w:sz w:val="28"/>
          <w:szCs w:val="28"/>
          <w:lang w:eastAsia="ar-SA"/>
        </w:rPr>
        <w:t xml:space="preserve">Email: </w:t>
      </w:r>
      <w:hyperlink r:id="rId11" w:history="1">
        <w:r w:rsidRPr="00D40404">
          <w:rPr>
            <w:rStyle w:val="Hyperlink"/>
            <w:rFonts w:asciiTheme="majorBidi" w:eastAsia="Times New Roman" w:hAnsiTheme="majorBidi" w:cstheme="majorBidi"/>
            <w:sz w:val="28"/>
            <w:szCs w:val="28"/>
            <w:lang w:eastAsia="ar-SA"/>
          </w:rPr>
          <w:t>islamammar146@gmail.com</w:t>
        </w:r>
      </w:hyperlink>
    </w:p>
    <w:p w:rsidR="00AE3E37" w:rsidRPr="00D40404" w:rsidRDefault="00AE3E37">
      <w:pPr>
        <w:spacing w:before="62"/>
        <w:ind w:left="4217" w:right="4235"/>
        <w:jc w:val="center"/>
        <w:rPr>
          <w:rFonts w:asciiTheme="majorBidi" w:hAnsiTheme="majorBidi" w:cstheme="majorBidi"/>
          <w:b/>
          <w:sz w:val="14"/>
        </w:rPr>
      </w:pPr>
    </w:p>
    <w:p w:rsidR="00AE3E37" w:rsidRPr="00D40404" w:rsidRDefault="00292ED9">
      <w:pPr>
        <w:pStyle w:val="BodyText"/>
        <w:spacing w:before="2"/>
        <w:rPr>
          <w:rFonts w:asciiTheme="majorBidi" w:hAnsiTheme="majorBidi" w:cstheme="majorBidi"/>
          <w:b/>
          <w:sz w:val="19"/>
        </w:rPr>
      </w:pPr>
      <w:r w:rsidRPr="00D40404">
        <w:rPr>
          <w:rFonts w:asciiTheme="majorBidi" w:hAnsiTheme="majorBidi" w:cstheme="majorBidi"/>
          <w:b/>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9694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40404" w:rsidRDefault="00AE3E37">
      <w:pPr>
        <w:pStyle w:val="BodyText"/>
        <w:rPr>
          <w:rFonts w:asciiTheme="majorBidi" w:hAnsiTheme="majorBidi" w:cstheme="majorBidi"/>
          <w:b/>
          <w:sz w:val="20"/>
        </w:rPr>
      </w:pPr>
    </w:p>
    <w:p w:rsidR="00AE3E37" w:rsidRPr="00D40404" w:rsidRDefault="00AE3E37">
      <w:pPr>
        <w:pStyle w:val="BodyText"/>
        <w:rPr>
          <w:rFonts w:asciiTheme="majorBidi" w:hAnsiTheme="majorBidi" w:cstheme="majorBidi"/>
          <w:b/>
          <w:sz w:val="20"/>
        </w:rPr>
      </w:pPr>
    </w:p>
    <w:p w:rsidR="00AE3E37" w:rsidRPr="00D40404" w:rsidRDefault="00AE3E37">
      <w:pPr>
        <w:pStyle w:val="BodyText"/>
        <w:spacing w:before="7"/>
        <w:rPr>
          <w:rFonts w:asciiTheme="majorBidi" w:hAnsiTheme="majorBidi" w:cstheme="majorBidi"/>
          <w:b/>
          <w:sz w:val="29"/>
        </w:rPr>
      </w:pPr>
    </w:p>
    <w:p w:rsidR="00AE3E37" w:rsidRPr="00D40404" w:rsidRDefault="00A9710C">
      <w:pPr>
        <w:spacing w:before="39"/>
        <w:ind w:left="100"/>
        <w:rPr>
          <w:rFonts w:asciiTheme="majorBidi" w:hAnsiTheme="majorBidi" w:cstheme="majorBidi"/>
          <w:b/>
          <w:sz w:val="20"/>
        </w:rPr>
      </w:pPr>
      <w:r w:rsidRPr="00D40404">
        <w:rPr>
          <w:rFonts w:asciiTheme="majorBidi" w:hAnsiTheme="majorBidi" w:cstheme="majorBidi"/>
          <w:b/>
          <w:sz w:val="20"/>
        </w:rPr>
        <w:t>Notes/Comments:</w:t>
      </w:r>
    </w:p>
    <w:p w:rsidR="00AE3E37" w:rsidRPr="00D40404" w:rsidRDefault="00AE3E37">
      <w:pPr>
        <w:rPr>
          <w:rFonts w:asciiTheme="majorBidi" w:hAnsiTheme="majorBidi" w:cstheme="majorBidi"/>
          <w:b/>
          <w:sz w:val="24"/>
        </w:rPr>
        <w:sectPr w:rsidR="00AE3E37" w:rsidRPr="00D40404">
          <w:type w:val="continuous"/>
          <w:pgSz w:w="11910" w:h="16840"/>
          <w:pgMar w:top="1740" w:right="600" w:bottom="840" w:left="620" w:header="720" w:footer="720" w:gutter="0"/>
          <w:cols w:space="720"/>
        </w:sectPr>
      </w:pPr>
    </w:p>
    <w:p w:rsidR="00AE3E37" w:rsidRPr="00D40404" w:rsidRDefault="00AE3E37">
      <w:pPr>
        <w:pStyle w:val="BodyText"/>
        <w:spacing w:before="3"/>
        <w:rPr>
          <w:rFonts w:asciiTheme="majorBidi" w:hAnsiTheme="majorBidi" w:cstheme="majorBidi"/>
          <w:b/>
          <w:sz w:val="26"/>
        </w:rPr>
      </w:pPr>
    </w:p>
    <w:sectPr w:rsidR="00AE3E37" w:rsidRPr="00D4040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A73" w:rsidRDefault="00C62A73">
      <w:r>
        <w:separator/>
      </w:r>
    </w:p>
  </w:endnote>
  <w:endnote w:type="continuationSeparator" w:id="0">
    <w:p w:rsidR="00C62A73" w:rsidRDefault="00C62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A73" w:rsidRDefault="00C62A73">
      <w:r>
        <w:separator/>
      </w:r>
    </w:p>
  </w:footnote>
  <w:footnote w:type="continuationSeparator" w:id="0">
    <w:p w:rsidR="00C62A73" w:rsidRDefault="00C62A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57E1"/>
    <w:rsid w:val="001263DF"/>
    <w:rsid w:val="00292ED9"/>
    <w:rsid w:val="003331EF"/>
    <w:rsid w:val="00345174"/>
    <w:rsid w:val="00404E5B"/>
    <w:rsid w:val="00414F7B"/>
    <w:rsid w:val="004355DC"/>
    <w:rsid w:val="004749B4"/>
    <w:rsid w:val="00494130"/>
    <w:rsid w:val="004F3523"/>
    <w:rsid w:val="00516A76"/>
    <w:rsid w:val="005973B9"/>
    <w:rsid w:val="005B3A56"/>
    <w:rsid w:val="006060CE"/>
    <w:rsid w:val="0063497F"/>
    <w:rsid w:val="006A79FD"/>
    <w:rsid w:val="006C0432"/>
    <w:rsid w:val="00786AE4"/>
    <w:rsid w:val="00843CE1"/>
    <w:rsid w:val="00873DF0"/>
    <w:rsid w:val="008756E6"/>
    <w:rsid w:val="00890ADD"/>
    <w:rsid w:val="008C681E"/>
    <w:rsid w:val="009819FB"/>
    <w:rsid w:val="009B2D44"/>
    <w:rsid w:val="00A02E89"/>
    <w:rsid w:val="00A07E82"/>
    <w:rsid w:val="00A9649F"/>
    <w:rsid w:val="00A9710C"/>
    <w:rsid w:val="00AE3E37"/>
    <w:rsid w:val="00B21A57"/>
    <w:rsid w:val="00C33602"/>
    <w:rsid w:val="00C62A73"/>
    <w:rsid w:val="00CD6F55"/>
    <w:rsid w:val="00CE2202"/>
    <w:rsid w:val="00D40404"/>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847867-0766-4EB0-950A-90A48715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TableGrid1">
    <w:name w:val="Table Grid1"/>
    <w:basedOn w:val="TableNormal"/>
    <w:next w:val="TableGrid"/>
    <w:uiPriority w:val="39"/>
    <w:rsid w:val="006A79FD"/>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A7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lamammar146@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D7D0B-07A7-4CF8-8F58-42513D69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jasmin9152</cp:lastModifiedBy>
  <cp:revision>11</cp:revision>
  <dcterms:created xsi:type="dcterms:W3CDTF">2017-10-20T18:18:00Z</dcterms:created>
  <dcterms:modified xsi:type="dcterms:W3CDTF">2017-10-20T19:08:00Z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