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F3C" w:rsidRDefault="00085D2F" w:rsidP="00085D2F">
      <w:pPr>
        <w:jc w:val="center"/>
        <w:rPr>
          <w:lang w:val="en-US"/>
        </w:rPr>
      </w:pPr>
      <w:r>
        <w:rPr>
          <w:noProof/>
          <w:lang w:val="fr-FR" w:eastAsia="fr-FR"/>
        </w:rPr>
        <w:drawing>
          <wp:inline distT="0" distB="0" distL="0" distR="0">
            <wp:extent cx="5387837" cy="1319917"/>
            <wp:effectExtent l="19050" t="0" r="3313"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srcRect/>
                    <a:stretch>
                      <a:fillRect/>
                    </a:stretch>
                  </pic:blipFill>
                  <pic:spPr bwMode="auto">
                    <a:xfrm>
                      <a:off x="0" y="0"/>
                      <a:ext cx="5390210" cy="1320498"/>
                    </a:xfrm>
                    <a:prstGeom prst="rect">
                      <a:avLst/>
                    </a:prstGeom>
                    <a:noFill/>
                    <a:ln w="9525">
                      <a:noFill/>
                      <a:miter lim="800000"/>
                      <a:headEnd/>
                      <a:tailEnd/>
                    </a:ln>
                  </pic:spPr>
                </pic:pic>
              </a:graphicData>
            </a:graphic>
          </wp:inline>
        </w:drawing>
      </w:r>
    </w:p>
    <w:p w:rsidR="001E5104" w:rsidRDefault="001E5104" w:rsidP="001E5104">
      <w:pPr>
        <w:rPr>
          <w:lang w:val="en-US"/>
        </w:rPr>
      </w:pPr>
    </w:p>
    <w:p w:rsidR="001E5104" w:rsidRPr="00CC2BEA" w:rsidRDefault="001E5104" w:rsidP="001E5104">
      <w:pPr>
        <w:spacing w:after="0"/>
        <w:ind w:left="-360"/>
        <w:jc w:val="center"/>
        <w:rPr>
          <w:rFonts w:asciiTheme="majorBidi" w:hAnsiTheme="majorBidi" w:cstheme="majorBidi"/>
          <w:b/>
          <w:bCs/>
          <w:i/>
          <w:iCs/>
        </w:rPr>
      </w:pPr>
      <w:r w:rsidRPr="00CC2BEA">
        <w:rPr>
          <w:rFonts w:asciiTheme="majorBidi" w:eastAsia="MS PGothic" w:hAnsiTheme="majorBidi" w:cstheme="majorBidi"/>
          <w:b/>
          <w:color w:val="000000"/>
        </w:rPr>
        <w:t>Title:</w:t>
      </w:r>
      <w:r w:rsidRPr="00CC2BEA">
        <w:rPr>
          <w:rFonts w:asciiTheme="majorBidi" w:hAnsiTheme="majorBidi" w:cstheme="majorBidi"/>
          <w:b/>
          <w:bCs/>
          <w:sz w:val="28"/>
          <w:szCs w:val="28"/>
        </w:rPr>
        <w:t xml:space="preserve"> </w:t>
      </w:r>
      <w:r w:rsidRPr="00CC2BEA">
        <w:rPr>
          <w:rFonts w:asciiTheme="majorBidi" w:hAnsiTheme="majorBidi" w:cstheme="majorBidi"/>
          <w:b/>
          <w:bCs/>
        </w:rPr>
        <w:t>The date palm inflorescence rot fungus</w:t>
      </w:r>
      <w:r w:rsidRPr="00CC2BEA">
        <w:rPr>
          <w:rFonts w:asciiTheme="majorBidi" w:hAnsiTheme="majorBidi" w:cstheme="majorBidi"/>
          <w:b/>
          <w:bCs/>
          <w:i/>
          <w:iCs/>
        </w:rPr>
        <w:t xml:space="preserve"> Mauginiella scaettae </w:t>
      </w:r>
      <w:r w:rsidRPr="00CC2BEA">
        <w:rPr>
          <w:rFonts w:asciiTheme="majorBidi" w:hAnsiTheme="majorBidi" w:cstheme="majorBidi"/>
          <w:b/>
          <w:bCs/>
        </w:rPr>
        <w:t xml:space="preserve">can infect the model plant </w:t>
      </w:r>
      <w:r w:rsidRPr="00CC2BEA">
        <w:rPr>
          <w:rFonts w:asciiTheme="majorBidi" w:hAnsiTheme="majorBidi" w:cstheme="majorBidi"/>
          <w:b/>
          <w:bCs/>
          <w:i/>
          <w:iCs/>
        </w:rPr>
        <w:t>Arabidopsis</w:t>
      </w:r>
      <w:r w:rsidRPr="00CC2BEA">
        <w:rPr>
          <w:rFonts w:asciiTheme="majorBidi" w:hAnsiTheme="majorBidi" w:cstheme="majorBidi"/>
          <w:b/>
          <w:bCs/>
        </w:rPr>
        <w:t> </w:t>
      </w:r>
      <w:r w:rsidRPr="00CC2BEA">
        <w:rPr>
          <w:rFonts w:asciiTheme="majorBidi" w:hAnsiTheme="majorBidi" w:cstheme="majorBidi"/>
          <w:b/>
          <w:bCs/>
          <w:i/>
          <w:iCs/>
        </w:rPr>
        <w:t>thaliana.</w:t>
      </w:r>
    </w:p>
    <w:p w:rsidR="001E5104" w:rsidRPr="00CC2BEA" w:rsidRDefault="001E5104" w:rsidP="001E5104">
      <w:pPr>
        <w:spacing w:after="0"/>
        <w:ind w:left="-360"/>
        <w:jc w:val="center"/>
        <w:rPr>
          <w:rFonts w:asciiTheme="majorBidi" w:hAnsiTheme="majorBidi" w:cstheme="majorBidi"/>
          <w:b/>
          <w:bCs/>
          <w:rtl/>
        </w:rPr>
      </w:pPr>
    </w:p>
    <w:p w:rsidR="001E5104" w:rsidRPr="00CC2BEA" w:rsidRDefault="001E5104" w:rsidP="001E5104">
      <w:pPr>
        <w:rPr>
          <w:rFonts w:asciiTheme="majorBidi" w:hAnsiTheme="majorBidi" w:cstheme="majorBidi"/>
          <w:lang w:val="fr-FR"/>
        </w:rPr>
      </w:pPr>
      <w:r w:rsidRPr="00CC2BEA">
        <w:rPr>
          <w:rFonts w:asciiTheme="majorBidi" w:hAnsiTheme="majorBidi" w:cstheme="majorBidi"/>
          <w:lang w:val="fr-FR"/>
        </w:rPr>
        <w:t xml:space="preserve">Bensaci M.B.¹, Rahmania F.² </w:t>
      </w:r>
    </w:p>
    <w:p w:rsidR="001E5104" w:rsidRPr="00CC2BEA" w:rsidRDefault="001E5104" w:rsidP="001E5104">
      <w:pPr>
        <w:pStyle w:val="Paragraphedeliste"/>
        <w:numPr>
          <w:ilvl w:val="0"/>
          <w:numId w:val="1"/>
        </w:numPr>
        <w:jc w:val="both"/>
        <w:rPr>
          <w:rFonts w:asciiTheme="majorBidi" w:hAnsiTheme="majorBidi" w:cstheme="majorBidi"/>
          <w:lang w:val="en-US"/>
        </w:rPr>
      </w:pPr>
      <w:r w:rsidRPr="00CC2BEA">
        <w:rPr>
          <w:rFonts w:asciiTheme="majorBidi" w:hAnsiTheme="majorBidi" w:cstheme="majorBidi"/>
        </w:rPr>
        <w:t xml:space="preserve">Ouargla Normal Higher School, Department of Natural Sciences, laboratory of Ecosystems protection and preservation in arid and semi arid areas, Ouargla 30 000, Algeria. </w:t>
      </w:r>
    </w:p>
    <w:p w:rsidR="001E5104" w:rsidRPr="00CC2BEA" w:rsidRDefault="001E5104" w:rsidP="001E5104">
      <w:pPr>
        <w:pStyle w:val="Paragraphedeliste"/>
        <w:numPr>
          <w:ilvl w:val="0"/>
          <w:numId w:val="1"/>
        </w:numPr>
        <w:jc w:val="both"/>
        <w:rPr>
          <w:rFonts w:asciiTheme="majorBidi" w:hAnsiTheme="majorBidi" w:cstheme="majorBidi"/>
          <w:lang w:val="en-US"/>
        </w:rPr>
      </w:pPr>
      <w:r w:rsidRPr="00CC2BEA">
        <w:rPr>
          <w:rFonts w:asciiTheme="majorBidi" w:hAnsiTheme="majorBidi" w:cstheme="majorBidi"/>
        </w:rPr>
        <w:t>Faculty of Biological Sciences. Laboratory of Researches on the Arid Zones. BP. 32. El - Alia, University Haouari Boumeriene</w:t>
      </w:r>
      <w:r w:rsidRPr="00CC2BEA">
        <w:rPr>
          <w:rFonts w:asciiTheme="majorBidi" w:hAnsiTheme="majorBidi" w:cstheme="majorBidi"/>
          <w:lang w:val="en-US"/>
        </w:rPr>
        <w:t>,</w:t>
      </w:r>
      <w:r w:rsidRPr="00CC2BEA">
        <w:rPr>
          <w:rFonts w:asciiTheme="majorBidi" w:hAnsiTheme="majorBidi" w:cstheme="majorBidi"/>
        </w:rPr>
        <w:t xml:space="preserve"> Bab-Ezzouar. Algiers. Algeria. </w:t>
      </w:r>
    </w:p>
    <w:p w:rsidR="001E5104" w:rsidRPr="00CC2BEA" w:rsidRDefault="001E5104" w:rsidP="001E5104">
      <w:pPr>
        <w:jc w:val="both"/>
        <w:rPr>
          <w:rFonts w:asciiTheme="majorBidi" w:hAnsiTheme="majorBidi" w:cstheme="majorBidi"/>
          <w:i/>
          <w:iCs/>
          <w:rtl/>
          <w:lang w:val="en-US"/>
        </w:rPr>
      </w:pPr>
      <w:r w:rsidRPr="00CC2BEA">
        <w:rPr>
          <w:rFonts w:asciiTheme="majorBidi" w:hAnsiTheme="majorBidi" w:cstheme="majorBidi"/>
          <w:b/>
          <w:bCs/>
          <w:lang w:val="en-CA"/>
        </w:rPr>
        <w:t>Abstract</w:t>
      </w:r>
    </w:p>
    <w:p w:rsidR="001E5104" w:rsidRPr="00CC2BEA" w:rsidRDefault="001E5104" w:rsidP="00ED4E94">
      <w:pPr>
        <w:jc w:val="both"/>
        <w:rPr>
          <w:rFonts w:asciiTheme="majorBidi" w:hAnsiTheme="majorBidi" w:cstheme="majorBidi"/>
          <w:lang w:val="en-US"/>
        </w:rPr>
      </w:pPr>
      <w:r w:rsidRPr="00CC2BEA">
        <w:rPr>
          <w:rFonts w:asciiTheme="majorBidi" w:hAnsiTheme="majorBidi" w:cstheme="majorBidi"/>
          <w:i/>
          <w:iCs/>
        </w:rPr>
        <w:t>Mauginiella scaettae</w:t>
      </w:r>
      <w:r w:rsidRPr="00CC2BEA">
        <w:rPr>
          <w:rFonts w:asciiTheme="majorBidi" w:hAnsiTheme="majorBidi" w:cstheme="majorBidi"/>
          <w:b/>
          <w:bCs/>
          <w:i/>
          <w:iCs/>
        </w:rPr>
        <w:t xml:space="preserve"> </w:t>
      </w:r>
      <w:r w:rsidRPr="00CC2BEA">
        <w:rPr>
          <w:rFonts w:asciiTheme="majorBidi" w:hAnsiTheme="majorBidi" w:cstheme="majorBidi"/>
        </w:rPr>
        <w:t xml:space="preserve">is a fungal pathogen causing inflorescence rot date palm: one of the most divesting diseases in date palm growing regions worldwide. This disease was first reported by Cavara (1925) in Libya but the infection mechanisms remain obscure. To characterise the infection mechanism it was attempted to develop the model plant </w:t>
      </w:r>
      <w:r w:rsidR="00ED4E94">
        <w:rPr>
          <w:rFonts w:asciiTheme="majorBidi" w:hAnsiTheme="majorBidi" w:cstheme="majorBidi"/>
        </w:rPr>
        <w:t xml:space="preserve"> </w:t>
      </w:r>
      <w:r w:rsidRPr="00CC2BEA">
        <w:rPr>
          <w:rFonts w:asciiTheme="majorBidi" w:hAnsiTheme="majorBidi" w:cstheme="majorBidi"/>
          <w:i/>
          <w:iCs/>
        </w:rPr>
        <w:t xml:space="preserve">Arabidopsis thaliana </w:t>
      </w:r>
      <w:r w:rsidRPr="00CC2BEA">
        <w:rPr>
          <w:rFonts w:asciiTheme="majorBidi" w:hAnsiTheme="majorBidi" w:cstheme="majorBidi"/>
        </w:rPr>
        <w:t xml:space="preserve">as an alternative host for strains of </w:t>
      </w:r>
      <w:r w:rsidRPr="00CC2BEA">
        <w:rPr>
          <w:rFonts w:asciiTheme="majorBidi" w:hAnsiTheme="majorBidi" w:cstheme="majorBidi"/>
          <w:i/>
          <w:iCs/>
        </w:rPr>
        <w:t>Mauginiella</w:t>
      </w:r>
      <w:r w:rsidRPr="00CC2BEA">
        <w:rPr>
          <w:rFonts w:asciiTheme="majorBidi" w:hAnsiTheme="majorBidi" w:cstheme="majorBidi"/>
        </w:rPr>
        <w:t xml:space="preserve"> </w:t>
      </w:r>
      <w:r w:rsidRPr="00CC2BEA">
        <w:rPr>
          <w:rFonts w:asciiTheme="majorBidi" w:hAnsiTheme="majorBidi" w:cstheme="majorBidi"/>
          <w:i/>
          <w:iCs/>
        </w:rPr>
        <w:t xml:space="preserve">scaettae </w:t>
      </w:r>
      <w:r w:rsidRPr="00CC2BEA">
        <w:rPr>
          <w:rFonts w:asciiTheme="majorBidi" w:hAnsiTheme="majorBidi" w:cstheme="majorBidi"/>
        </w:rPr>
        <w:t xml:space="preserve">were isolated from different oases of East-south of Algeria: </w:t>
      </w:r>
      <w:r w:rsidRPr="00CC2BEA">
        <w:rPr>
          <w:rFonts w:asciiTheme="majorBidi" w:hAnsiTheme="majorBidi" w:cstheme="majorBidi"/>
          <w:lang w:val="en-US"/>
        </w:rPr>
        <w:t xml:space="preserve">Ouargla1 (OU1) ,Ouargla2 (OU2), Ouargla3 (OU3), Hadjira (Ha),Touggour1(T1), Touggourt2 (T2), Oued1 (OE1), Oued2 (OE2), Ghardaïa (G) and Biskra (Bis). </w:t>
      </w:r>
      <w:r w:rsidRPr="00CC2BEA">
        <w:rPr>
          <w:rFonts w:asciiTheme="majorBidi" w:hAnsiTheme="majorBidi" w:cstheme="majorBidi"/>
        </w:rPr>
        <w:t xml:space="preserve">Sequencing the internal spacer (ITS) regions of indicated the phylogenetic position of </w:t>
      </w:r>
      <w:r w:rsidRPr="00CC2BEA">
        <w:rPr>
          <w:rFonts w:asciiTheme="majorBidi" w:hAnsiTheme="majorBidi" w:cstheme="majorBidi"/>
          <w:i/>
          <w:iCs/>
        </w:rPr>
        <w:t>M. scaettae.</w:t>
      </w:r>
      <w:r w:rsidRPr="00CC2BEA">
        <w:rPr>
          <w:rFonts w:asciiTheme="majorBidi" w:hAnsiTheme="majorBidi" w:cstheme="majorBidi"/>
        </w:rPr>
        <w:t xml:space="preserve"> Upon drop-inoculation with conidia of </w:t>
      </w:r>
      <w:r w:rsidRPr="00CC2BEA">
        <w:rPr>
          <w:rFonts w:asciiTheme="majorBidi" w:hAnsiTheme="majorBidi" w:cstheme="majorBidi"/>
          <w:i/>
          <w:iCs/>
        </w:rPr>
        <w:t>M. scaettae, Arabidopsis</w:t>
      </w:r>
      <w:r w:rsidRPr="00CC2BEA">
        <w:rPr>
          <w:rFonts w:asciiTheme="majorBidi" w:hAnsiTheme="majorBidi" w:cstheme="majorBidi"/>
        </w:rPr>
        <w:t xml:space="preserve"> exhibited white necrotic lesions with marginal yellowing appeared on leaves at 6 days post inoculation and subsequently expanded throughout the entire leaves. It was noted that strain G was the most and T2 is the least virulent. Microscopic investigations demonstrated that a preference for fungal penetration via stomata, accompanied by hyphal tip swelling which may represent a primitive haustorium. Both of these features were also observed on </w:t>
      </w:r>
      <w:r w:rsidRPr="00CC2BEA">
        <w:rPr>
          <w:rFonts w:asciiTheme="majorBidi" w:hAnsiTheme="majorBidi" w:cstheme="majorBidi"/>
          <w:i/>
          <w:iCs/>
        </w:rPr>
        <w:t xml:space="preserve">M. scaettae </w:t>
      </w:r>
      <w:r w:rsidRPr="00CC2BEA">
        <w:rPr>
          <w:rFonts w:asciiTheme="majorBidi" w:hAnsiTheme="majorBidi" w:cstheme="majorBidi"/>
        </w:rPr>
        <w:t xml:space="preserve">infected date palm spathes. On Arabidopsis initial biotrophic growth was followed by a necrotrophic lifestyle, similar to what happens on date palms. To investigate how host resistance mechanisms could modify the interaction were examined </w:t>
      </w:r>
      <w:r w:rsidRPr="00CC2BEA">
        <w:rPr>
          <w:rFonts w:asciiTheme="majorBidi" w:hAnsiTheme="majorBidi" w:cstheme="majorBidi"/>
          <w:i/>
          <w:iCs/>
        </w:rPr>
        <w:t xml:space="preserve">M. scaettae </w:t>
      </w:r>
      <w:r w:rsidRPr="00CC2BEA">
        <w:rPr>
          <w:rFonts w:asciiTheme="majorBidi" w:hAnsiTheme="majorBidi" w:cstheme="majorBidi"/>
        </w:rPr>
        <w:t xml:space="preserve">interactions with </w:t>
      </w:r>
      <w:r w:rsidRPr="00CC2BEA">
        <w:rPr>
          <w:rFonts w:asciiTheme="majorBidi" w:hAnsiTheme="majorBidi" w:cstheme="majorBidi"/>
          <w:i/>
          <w:iCs/>
        </w:rPr>
        <w:t xml:space="preserve">Arabidopsis </w:t>
      </w:r>
      <w:r w:rsidRPr="00CC2BEA">
        <w:rPr>
          <w:rFonts w:asciiTheme="majorBidi" w:hAnsiTheme="majorBidi" w:cstheme="majorBidi"/>
        </w:rPr>
        <w:t xml:space="preserve">mutants </w:t>
      </w:r>
      <w:r w:rsidRPr="00CC2BEA">
        <w:rPr>
          <w:rFonts w:asciiTheme="majorBidi" w:hAnsiTheme="majorBidi" w:cstheme="majorBidi"/>
          <w:i/>
          <w:iCs/>
        </w:rPr>
        <w:t xml:space="preserve">cpr1 </w:t>
      </w:r>
      <w:r w:rsidRPr="00CC2BEA">
        <w:rPr>
          <w:rFonts w:asciiTheme="majorBidi" w:hAnsiTheme="majorBidi" w:cstheme="majorBidi"/>
        </w:rPr>
        <w:t xml:space="preserve">and </w:t>
      </w:r>
      <w:r w:rsidRPr="00CC2BEA">
        <w:rPr>
          <w:rFonts w:asciiTheme="majorBidi" w:hAnsiTheme="majorBidi" w:cstheme="majorBidi"/>
          <w:i/>
          <w:iCs/>
        </w:rPr>
        <w:t xml:space="preserve">sid2 </w:t>
      </w:r>
      <w:r w:rsidRPr="00CC2BEA">
        <w:rPr>
          <w:rFonts w:asciiTheme="majorBidi" w:hAnsiTheme="majorBidi" w:cstheme="majorBidi"/>
        </w:rPr>
        <w:t xml:space="preserve">respectively increased and compromised in biotrophic resistance mechanisms, and </w:t>
      </w:r>
      <w:r w:rsidRPr="00CC2BEA">
        <w:rPr>
          <w:rFonts w:asciiTheme="majorBidi" w:hAnsiTheme="majorBidi" w:cstheme="majorBidi"/>
          <w:i/>
          <w:iCs/>
        </w:rPr>
        <w:t xml:space="preserve">eto2 </w:t>
      </w:r>
      <w:r w:rsidRPr="00CC2BEA">
        <w:rPr>
          <w:rFonts w:asciiTheme="majorBidi" w:hAnsiTheme="majorBidi" w:cstheme="majorBidi"/>
        </w:rPr>
        <w:t xml:space="preserve">which displays elevated resistance against necrotrophic pathogens. Interactions with </w:t>
      </w:r>
      <w:r w:rsidRPr="00CC2BEA">
        <w:rPr>
          <w:rFonts w:asciiTheme="majorBidi" w:hAnsiTheme="majorBidi" w:cstheme="majorBidi"/>
          <w:i/>
          <w:iCs/>
        </w:rPr>
        <w:t xml:space="preserve">eto2 </w:t>
      </w:r>
      <w:r w:rsidRPr="00CC2BEA">
        <w:rPr>
          <w:rFonts w:asciiTheme="majorBidi" w:hAnsiTheme="majorBidi" w:cstheme="majorBidi"/>
        </w:rPr>
        <w:t xml:space="preserve">appeared to be particularly affected, suggesting that anti-necrotrophic mechanisms - here linked to ethylene - could be effective in conferring resistance to </w:t>
      </w:r>
      <w:r w:rsidRPr="00CC2BEA">
        <w:rPr>
          <w:rFonts w:asciiTheme="majorBidi" w:hAnsiTheme="majorBidi" w:cstheme="majorBidi"/>
          <w:i/>
          <w:iCs/>
        </w:rPr>
        <w:t xml:space="preserve">M. scaettae. </w:t>
      </w:r>
      <w:r w:rsidRPr="00CC2BEA">
        <w:rPr>
          <w:rFonts w:asciiTheme="majorBidi" w:hAnsiTheme="majorBidi" w:cstheme="majorBidi"/>
        </w:rPr>
        <w:t xml:space="preserve">This study demonstrated the value of using model species in providing novel insights into previously cryptic interactions. </w:t>
      </w:r>
    </w:p>
    <w:p w:rsidR="001E5104" w:rsidRPr="00CC2BEA" w:rsidRDefault="001E5104" w:rsidP="001E5104">
      <w:pPr>
        <w:jc w:val="both"/>
        <w:rPr>
          <w:rFonts w:asciiTheme="majorBidi" w:hAnsiTheme="majorBidi" w:cstheme="majorBidi"/>
          <w:b/>
          <w:bCs/>
          <w:lang w:bidi="ar-DZ"/>
        </w:rPr>
      </w:pPr>
      <w:r w:rsidRPr="00CC2BEA">
        <w:rPr>
          <w:rFonts w:asciiTheme="majorBidi" w:hAnsiTheme="majorBidi" w:cstheme="majorBidi"/>
          <w:b/>
          <w:bCs/>
        </w:rPr>
        <w:t xml:space="preserve">Key words: </w:t>
      </w:r>
      <w:r w:rsidRPr="00CC2BEA">
        <w:rPr>
          <w:rFonts w:asciiTheme="majorBidi" w:hAnsiTheme="majorBidi" w:cstheme="majorBidi"/>
        </w:rPr>
        <w:t xml:space="preserve">Date palm, Algeria, inflorescence rot, </w:t>
      </w:r>
      <w:r w:rsidRPr="00CC2BEA">
        <w:rPr>
          <w:rFonts w:asciiTheme="majorBidi" w:hAnsiTheme="majorBidi" w:cstheme="majorBidi"/>
          <w:i/>
          <w:iCs/>
        </w:rPr>
        <w:t>Mauginiella scaettae</w:t>
      </w:r>
      <w:r w:rsidRPr="00CC2BEA">
        <w:rPr>
          <w:rFonts w:asciiTheme="majorBidi" w:hAnsiTheme="majorBidi" w:cstheme="majorBidi"/>
        </w:rPr>
        <w:t xml:space="preserve">, </w:t>
      </w:r>
      <w:r w:rsidRPr="00CC2BEA">
        <w:rPr>
          <w:rFonts w:asciiTheme="majorBidi" w:hAnsiTheme="majorBidi" w:cstheme="majorBidi"/>
          <w:i/>
          <w:iCs/>
        </w:rPr>
        <w:t>Arabidopsis</w:t>
      </w:r>
      <w:r w:rsidRPr="00CC2BEA">
        <w:rPr>
          <w:rFonts w:asciiTheme="majorBidi" w:hAnsiTheme="majorBidi" w:cstheme="majorBidi"/>
        </w:rPr>
        <w:t xml:space="preserve"> </w:t>
      </w:r>
      <w:r w:rsidRPr="00CC2BEA">
        <w:rPr>
          <w:rFonts w:asciiTheme="majorBidi" w:hAnsiTheme="majorBidi" w:cstheme="majorBidi"/>
          <w:i/>
          <w:iCs/>
        </w:rPr>
        <w:t>thaliana</w:t>
      </w:r>
      <w:r w:rsidRPr="00CC2BEA">
        <w:rPr>
          <w:rFonts w:asciiTheme="majorBidi" w:hAnsiTheme="majorBidi" w:cstheme="majorBidi"/>
        </w:rPr>
        <w:t>. Infection, interaction.</w:t>
      </w:r>
      <w:r w:rsidRPr="00CC2BEA">
        <w:rPr>
          <w:rFonts w:asciiTheme="majorBidi" w:hAnsiTheme="majorBidi" w:cstheme="majorBidi"/>
          <w:b/>
          <w:bCs/>
          <w:rtl/>
          <w:lang w:bidi="ar-DZ"/>
        </w:rPr>
        <w:t xml:space="preserve"> </w:t>
      </w:r>
    </w:p>
    <w:p w:rsidR="00C3412B" w:rsidRPr="00CC2BEA" w:rsidRDefault="00C3412B" w:rsidP="001E5104">
      <w:pPr>
        <w:jc w:val="both"/>
        <w:rPr>
          <w:rFonts w:asciiTheme="majorBidi" w:hAnsiTheme="majorBidi" w:cstheme="majorBidi"/>
          <w:b/>
          <w:bCs/>
          <w:lang w:bidi="ar-DZ"/>
        </w:rPr>
      </w:pPr>
    </w:p>
    <w:p w:rsidR="00C3412B" w:rsidRPr="00CC2BEA" w:rsidRDefault="00C3412B" w:rsidP="00C3412B">
      <w:pPr>
        <w:jc w:val="both"/>
        <w:rPr>
          <w:rFonts w:asciiTheme="majorBidi" w:hAnsiTheme="majorBidi" w:cstheme="majorBidi"/>
          <w:color w:val="000000"/>
        </w:rPr>
      </w:pPr>
      <w:r w:rsidRPr="00CC2BEA">
        <w:rPr>
          <w:rFonts w:asciiTheme="majorBidi" w:hAnsiTheme="majorBidi" w:cstheme="majorBidi"/>
          <w:b/>
          <w:bCs/>
          <w:color w:val="000000"/>
        </w:rPr>
        <w:t>Figures if any (BW/Color)</w:t>
      </w:r>
      <w:r w:rsidRPr="00CC2BEA">
        <w:rPr>
          <w:rFonts w:asciiTheme="majorBidi" w:hAnsiTheme="majorBidi" w:cstheme="majorBidi"/>
          <w:color w:val="000000"/>
        </w:rPr>
        <w:t>:</w:t>
      </w:r>
    </w:p>
    <w:p w:rsidR="00C3412B" w:rsidRPr="00CC2BEA" w:rsidRDefault="00C3412B" w:rsidP="001E5104">
      <w:pPr>
        <w:jc w:val="both"/>
        <w:rPr>
          <w:rFonts w:asciiTheme="majorBidi" w:hAnsiTheme="majorBidi" w:cstheme="majorBidi"/>
        </w:rPr>
      </w:pPr>
    </w:p>
    <w:p w:rsidR="001E5104" w:rsidRPr="00CC2BEA" w:rsidRDefault="001E5104" w:rsidP="001E5104">
      <w:pPr>
        <w:jc w:val="both"/>
        <w:rPr>
          <w:rFonts w:asciiTheme="majorBidi" w:hAnsiTheme="majorBidi" w:cstheme="majorBidi"/>
          <w:lang w:val="en-US"/>
        </w:rPr>
      </w:pPr>
    </w:p>
    <w:p w:rsidR="001E5104" w:rsidRPr="00CC2BEA" w:rsidRDefault="00C3412B" w:rsidP="00713CF3">
      <w:pPr>
        <w:jc w:val="center"/>
        <w:rPr>
          <w:rFonts w:asciiTheme="majorBidi" w:hAnsiTheme="majorBidi" w:cstheme="majorBidi"/>
          <w:lang w:val="en-US"/>
        </w:rPr>
      </w:pPr>
      <w:r w:rsidRPr="00CC2BEA">
        <w:rPr>
          <w:rFonts w:asciiTheme="majorBidi" w:hAnsiTheme="majorBidi" w:cstheme="majorBidi"/>
          <w:noProof/>
          <w:lang w:val="fr-FR" w:eastAsia="fr-FR"/>
        </w:rPr>
        <w:drawing>
          <wp:inline distT="0" distB="0" distL="0" distR="0">
            <wp:extent cx="4354167" cy="3427011"/>
            <wp:effectExtent l="19050" t="0" r="8283"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356591" cy="3428919"/>
                    </a:xfrm>
                    <a:prstGeom prst="rect">
                      <a:avLst/>
                    </a:prstGeom>
                    <a:noFill/>
                    <a:ln w="9525">
                      <a:noFill/>
                      <a:miter lim="800000"/>
                      <a:headEnd/>
                      <a:tailEnd/>
                    </a:ln>
                  </pic:spPr>
                </pic:pic>
              </a:graphicData>
            </a:graphic>
          </wp:inline>
        </w:drawing>
      </w:r>
    </w:p>
    <w:p w:rsidR="00A90869" w:rsidRPr="00CC2BEA" w:rsidRDefault="00A90869" w:rsidP="00A90869">
      <w:pPr>
        <w:jc w:val="both"/>
        <w:rPr>
          <w:rFonts w:asciiTheme="majorBidi" w:hAnsiTheme="majorBidi" w:cstheme="majorBidi"/>
          <w:lang w:val="en-US"/>
        </w:rPr>
      </w:pPr>
      <w:r w:rsidRPr="00CC2BEA">
        <w:rPr>
          <w:rFonts w:asciiTheme="majorBidi" w:hAnsiTheme="majorBidi" w:cstheme="majorBidi"/>
          <w:b/>
          <w:bCs/>
        </w:rPr>
        <w:t>Fig. 1.</w:t>
      </w:r>
      <w:r w:rsidRPr="00CC2BEA">
        <w:rPr>
          <w:rFonts w:asciiTheme="majorBidi" w:hAnsiTheme="majorBidi" w:cstheme="majorBidi"/>
        </w:rPr>
        <w:t xml:space="preserve"> Symptoms of date palm inflorescence rot caused by </w:t>
      </w:r>
      <w:r w:rsidRPr="00CC2BEA">
        <w:rPr>
          <w:rFonts w:asciiTheme="majorBidi" w:hAnsiTheme="majorBidi" w:cstheme="majorBidi"/>
          <w:i/>
          <w:iCs/>
        </w:rPr>
        <w:t>Mauginiella scaettae</w:t>
      </w:r>
      <w:r w:rsidRPr="00CC2BEA">
        <w:rPr>
          <w:rFonts w:asciiTheme="majorBidi" w:hAnsiTheme="majorBidi" w:cstheme="majorBidi"/>
        </w:rPr>
        <w:t xml:space="preserve">. </w:t>
      </w:r>
      <w:r w:rsidRPr="00CC2BEA">
        <w:rPr>
          <w:rFonts w:asciiTheme="majorBidi" w:hAnsiTheme="majorBidi" w:cstheme="majorBidi"/>
          <w:b/>
          <w:bCs/>
        </w:rPr>
        <w:t xml:space="preserve">(A) </w:t>
      </w:r>
      <w:r w:rsidRPr="00CC2BEA">
        <w:rPr>
          <w:rFonts w:asciiTheme="majorBidi" w:hAnsiTheme="majorBidi" w:cstheme="majorBidi"/>
        </w:rPr>
        <w:t>Male date palm with</w:t>
      </w:r>
      <w:r w:rsidRPr="00CC2BEA">
        <w:rPr>
          <w:rFonts w:asciiTheme="majorBidi" w:hAnsiTheme="majorBidi" w:cstheme="majorBidi"/>
          <w:b/>
          <w:bCs/>
        </w:rPr>
        <w:t xml:space="preserve"> (B) </w:t>
      </w:r>
      <w:r w:rsidRPr="00CC2BEA">
        <w:rPr>
          <w:rFonts w:asciiTheme="majorBidi" w:hAnsiTheme="majorBidi" w:cstheme="majorBidi"/>
        </w:rPr>
        <w:t>male inflorescences with the spathe cover (bar=5 cm)</w:t>
      </w:r>
      <w:r w:rsidRPr="00CC2BEA">
        <w:rPr>
          <w:rFonts w:asciiTheme="majorBidi" w:hAnsiTheme="majorBidi" w:cstheme="majorBidi"/>
          <w:b/>
          <w:bCs/>
        </w:rPr>
        <w:t xml:space="preserve">. (C) </w:t>
      </w:r>
      <w:r w:rsidRPr="00CC2BEA">
        <w:rPr>
          <w:rFonts w:asciiTheme="majorBidi" w:hAnsiTheme="majorBidi" w:cstheme="majorBidi"/>
        </w:rPr>
        <w:t xml:space="preserve">Necrotic symptoms symptomatic of inflorescence rot (arrowed), as seen on the outside of the male spathe (bar=5 cm) with </w:t>
      </w:r>
      <w:r w:rsidRPr="00CC2BEA">
        <w:rPr>
          <w:rFonts w:asciiTheme="majorBidi" w:hAnsiTheme="majorBidi" w:cstheme="majorBidi"/>
          <w:b/>
          <w:bCs/>
        </w:rPr>
        <w:t xml:space="preserve">(D) </w:t>
      </w:r>
      <w:r w:rsidRPr="00CC2BEA">
        <w:rPr>
          <w:rFonts w:asciiTheme="majorBidi" w:hAnsiTheme="majorBidi" w:cstheme="majorBidi"/>
        </w:rPr>
        <w:t xml:space="preserve">white mycelial development within the male spathe (bar=2 cm). </w:t>
      </w:r>
      <w:r w:rsidRPr="00CC2BEA">
        <w:rPr>
          <w:rFonts w:asciiTheme="majorBidi" w:hAnsiTheme="majorBidi" w:cstheme="majorBidi"/>
          <w:b/>
          <w:bCs/>
        </w:rPr>
        <w:t xml:space="preserve">(E) </w:t>
      </w:r>
      <w:r w:rsidRPr="00CC2BEA">
        <w:rPr>
          <w:rFonts w:asciiTheme="majorBidi" w:hAnsiTheme="majorBidi" w:cstheme="majorBidi"/>
        </w:rPr>
        <w:t xml:space="preserve">white mycelial development and necrosis is eventually observed both within and outside the infected male spathe (bar=5 cm). </w:t>
      </w:r>
      <w:r w:rsidRPr="00CC2BEA">
        <w:rPr>
          <w:rFonts w:asciiTheme="majorBidi" w:hAnsiTheme="majorBidi" w:cstheme="majorBidi"/>
          <w:b/>
          <w:bCs/>
        </w:rPr>
        <w:t>(F)</w:t>
      </w:r>
      <w:r w:rsidRPr="00CC2BEA">
        <w:rPr>
          <w:rFonts w:asciiTheme="majorBidi" w:hAnsiTheme="majorBidi" w:cstheme="majorBidi"/>
        </w:rPr>
        <w:t xml:space="preserve"> healthy female date palm exhibiting the emergence of female flowers. </w:t>
      </w:r>
      <w:r w:rsidRPr="00CC2BEA">
        <w:rPr>
          <w:rFonts w:asciiTheme="majorBidi" w:hAnsiTheme="majorBidi" w:cstheme="majorBidi"/>
          <w:b/>
          <w:bCs/>
        </w:rPr>
        <w:t xml:space="preserve">(G) </w:t>
      </w:r>
      <w:r w:rsidRPr="00CC2BEA">
        <w:rPr>
          <w:rFonts w:asciiTheme="majorBidi" w:hAnsiTheme="majorBidi" w:cstheme="majorBidi"/>
        </w:rPr>
        <w:t xml:space="preserve">white mycelial development within inflorescence rot exhibiting female spathe (bar=5 cm) which </w:t>
      </w:r>
      <w:r w:rsidRPr="00CC2BEA">
        <w:rPr>
          <w:rFonts w:asciiTheme="majorBidi" w:hAnsiTheme="majorBidi" w:cstheme="majorBidi"/>
          <w:b/>
          <w:bCs/>
        </w:rPr>
        <w:t xml:space="preserve">(H) </w:t>
      </w:r>
      <w:r w:rsidRPr="00CC2BEA">
        <w:rPr>
          <w:rFonts w:asciiTheme="majorBidi" w:hAnsiTheme="majorBidi" w:cstheme="majorBidi"/>
        </w:rPr>
        <w:t xml:space="preserve">is associated with necrotic symptoms as the flowers emerge (bar=5 cm) and </w:t>
      </w:r>
      <w:r w:rsidRPr="00CC2BEA">
        <w:rPr>
          <w:rFonts w:asciiTheme="majorBidi" w:hAnsiTheme="majorBidi" w:cstheme="majorBidi"/>
          <w:b/>
          <w:bCs/>
        </w:rPr>
        <w:t xml:space="preserve">(I) </w:t>
      </w:r>
      <w:r w:rsidRPr="00CC2BEA">
        <w:rPr>
          <w:rFonts w:asciiTheme="majorBidi" w:hAnsiTheme="majorBidi" w:cstheme="majorBidi"/>
        </w:rPr>
        <w:t>kills the flowers at the tips (bar=5 cm).</w:t>
      </w:r>
      <w:r w:rsidRPr="00CC2BEA">
        <w:rPr>
          <w:rFonts w:asciiTheme="majorBidi" w:hAnsiTheme="majorBidi" w:cstheme="majorBidi"/>
          <w:lang w:val="en-US"/>
        </w:rPr>
        <w:t xml:space="preserve"> </w:t>
      </w:r>
    </w:p>
    <w:p w:rsidR="00A90869" w:rsidRPr="00CC2BEA" w:rsidRDefault="00A90869" w:rsidP="00713CF3">
      <w:pPr>
        <w:rPr>
          <w:rFonts w:asciiTheme="majorBidi" w:hAnsiTheme="majorBidi" w:cstheme="majorBidi"/>
          <w:lang w:val="en-US"/>
        </w:rPr>
      </w:pPr>
      <w:r w:rsidRPr="00CC2BEA">
        <w:rPr>
          <w:rFonts w:asciiTheme="majorBidi" w:hAnsiTheme="majorBidi" w:cstheme="majorBidi"/>
          <w:b/>
          <w:bCs/>
        </w:rPr>
        <w:lastRenderedPageBreak/>
        <w:t xml:space="preserve">Table 1. </w:t>
      </w:r>
      <w:r w:rsidRPr="00CC2BEA">
        <w:rPr>
          <w:rFonts w:asciiTheme="majorBidi" w:hAnsiTheme="majorBidi" w:cstheme="majorBidi"/>
          <w:sz w:val="24"/>
          <w:szCs w:val="24"/>
        </w:rPr>
        <w:t xml:space="preserve">Ten sites in South-East of Algeria origin of the inflorescence rot in date palm. </w:t>
      </w:r>
      <w:r w:rsidRPr="00CC2BEA">
        <w:rPr>
          <w:rFonts w:asciiTheme="majorBidi" w:hAnsiTheme="majorBidi" w:cstheme="majorBidi"/>
          <w:lang w:val="en-US"/>
        </w:rPr>
        <w:drawing>
          <wp:inline distT="0" distB="0" distL="0" distR="0">
            <wp:extent cx="5370285" cy="2250219"/>
            <wp:effectExtent l="19050" t="0" r="1815" b="0"/>
            <wp:docPr id="8" name="Image 1"/>
            <wp:cNvGraphicFramePr/>
            <a:graphic xmlns:a="http://schemas.openxmlformats.org/drawingml/2006/main">
              <a:graphicData uri="http://schemas.openxmlformats.org/drawingml/2006/picture">
                <pic:pic xmlns:pic="http://schemas.openxmlformats.org/drawingml/2006/picture">
                  <pic:nvPicPr>
                    <pic:cNvPr id="2051" name="Picture 6"/>
                    <pic:cNvPicPr>
                      <a:picLocks noChangeAspect="1" noChangeArrowheads="1"/>
                    </pic:cNvPicPr>
                  </pic:nvPicPr>
                  <pic:blipFill>
                    <a:blip r:embed="rId10"/>
                    <a:srcRect/>
                    <a:stretch>
                      <a:fillRect/>
                    </a:stretch>
                  </pic:blipFill>
                  <pic:spPr bwMode="auto">
                    <a:xfrm>
                      <a:off x="0" y="0"/>
                      <a:ext cx="5376279" cy="2252730"/>
                    </a:xfrm>
                    <a:prstGeom prst="rect">
                      <a:avLst/>
                    </a:prstGeom>
                    <a:noFill/>
                    <a:ln w="9525">
                      <a:noFill/>
                      <a:miter lim="800000"/>
                      <a:headEnd/>
                      <a:tailEnd/>
                    </a:ln>
                  </pic:spPr>
                </pic:pic>
              </a:graphicData>
            </a:graphic>
          </wp:inline>
        </w:drawing>
      </w:r>
    </w:p>
    <w:p w:rsidR="00A90869" w:rsidRPr="00CC2BEA" w:rsidRDefault="00A90869" w:rsidP="001E5104">
      <w:pPr>
        <w:rPr>
          <w:rFonts w:asciiTheme="majorBidi" w:hAnsiTheme="majorBidi" w:cstheme="majorBidi"/>
          <w:lang w:val="en-US"/>
        </w:rPr>
      </w:pPr>
    </w:p>
    <w:p w:rsidR="00A90869" w:rsidRPr="00CC2BEA" w:rsidRDefault="00A90869" w:rsidP="00713CF3">
      <w:pPr>
        <w:jc w:val="center"/>
        <w:rPr>
          <w:rFonts w:asciiTheme="majorBidi" w:hAnsiTheme="majorBidi" w:cstheme="majorBidi"/>
          <w:lang w:val="en-US"/>
        </w:rPr>
      </w:pPr>
      <w:r w:rsidRPr="00CC2BEA">
        <w:rPr>
          <w:rFonts w:asciiTheme="majorBidi" w:hAnsiTheme="majorBidi" w:cstheme="majorBidi"/>
          <w:noProof/>
          <w:lang w:val="fr-FR" w:eastAsia="fr-FR"/>
        </w:rPr>
        <w:drawing>
          <wp:inline distT="0" distB="0" distL="0" distR="0">
            <wp:extent cx="4007154" cy="2250062"/>
            <wp:effectExtent l="19050" t="0" r="0" b="0"/>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4011325" cy="2252404"/>
                    </a:xfrm>
                    <a:prstGeom prst="rect">
                      <a:avLst/>
                    </a:prstGeom>
                    <a:noFill/>
                    <a:ln w="9525">
                      <a:noFill/>
                      <a:miter lim="800000"/>
                      <a:headEnd/>
                      <a:tailEnd/>
                    </a:ln>
                  </pic:spPr>
                </pic:pic>
              </a:graphicData>
            </a:graphic>
          </wp:inline>
        </w:drawing>
      </w:r>
    </w:p>
    <w:p w:rsidR="00A90869" w:rsidRPr="00CC2BEA" w:rsidRDefault="00A90869" w:rsidP="00713CF3">
      <w:pPr>
        <w:jc w:val="center"/>
        <w:rPr>
          <w:rFonts w:asciiTheme="majorBidi" w:hAnsiTheme="majorBidi" w:cstheme="majorBidi"/>
          <w:lang w:val="en-US"/>
        </w:rPr>
      </w:pPr>
      <w:r w:rsidRPr="00CC2BEA">
        <w:rPr>
          <w:rFonts w:asciiTheme="majorBidi" w:hAnsiTheme="majorBidi" w:cstheme="majorBidi"/>
          <w:noProof/>
          <w:lang w:val="fr-FR" w:eastAsia="fr-FR"/>
        </w:rPr>
        <w:drawing>
          <wp:inline distT="0" distB="0" distL="0" distR="0">
            <wp:extent cx="4592707" cy="2377183"/>
            <wp:effectExtent l="19050" t="0" r="0" b="0"/>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4593133" cy="2377404"/>
                    </a:xfrm>
                    <a:prstGeom prst="rect">
                      <a:avLst/>
                    </a:prstGeom>
                    <a:noFill/>
                    <a:ln w="9525">
                      <a:noFill/>
                      <a:miter lim="800000"/>
                      <a:headEnd/>
                      <a:tailEnd/>
                    </a:ln>
                  </pic:spPr>
                </pic:pic>
              </a:graphicData>
            </a:graphic>
          </wp:inline>
        </w:drawing>
      </w:r>
    </w:p>
    <w:p w:rsidR="001E5D3C" w:rsidRPr="00CC2BEA" w:rsidRDefault="001E5D3C" w:rsidP="001E5D3C">
      <w:pPr>
        <w:jc w:val="both"/>
        <w:rPr>
          <w:rFonts w:asciiTheme="majorBidi" w:hAnsiTheme="majorBidi" w:cstheme="majorBidi"/>
          <w:lang w:val="en-US"/>
        </w:rPr>
      </w:pPr>
      <w:r w:rsidRPr="00CC2BEA">
        <w:rPr>
          <w:rFonts w:asciiTheme="majorBidi" w:hAnsiTheme="majorBidi" w:cstheme="majorBidi"/>
          <w:b/>
          <w:bCs/>
        </w:rPr>
        <w:t xml:space="preserve">Fig. 2. </w:t>
      </w:r>
      <w:r w:rsidRPr="00CC2BEA">
        <w:rPr>
          <w:rFonts w:asciiTheme="majorBidi" w:hAnsiTheme="majorBidi" w:cstheme="majorBidi"/>
        </w:rPr>
        <w:t xml:space="preserve"> </w:t>
      </w:r>
      <w:r w:rsidRPr="00CC2BEA">
        <w:rPr>
          <w:rFonts w:asciiTheme="majorBidi" w:hAnsiTheme="majorBidi" w:cstheme="majorBidi"/>
          <w:b/>
          <w:bCs/>
        </w:rPr>
        <w:t xml:space="preserve">(A, B)  </w:t>
      </w:r>
      <w:r w:rsidRPr="00CC2BEA">
        <w:rPr>
          <w:rFonts w:asciiTheme="majorBidi" w:hAnsiTheme="majorBidi" w:cstheme="majorBidi"/>
        </w:rPr>
        <w:t xml:space="preserve">Diseases severity (DS) in Col-0 (see table 2). </w:t>
      </w:r>
      <w:r w:rsidRPr="00CC2BEA">
        <w:rPr>
          <w:rFonts w:asciiTheme="majorBidi" w:hAnsiTheme="majorBidi" w:cstheme="majorBidi"/>
          <w:b/>
          <w:bCs/>
        </w:rPr>
        <w:t xml:space="preserve">(C)  </w:t>
      </w:r>
      <w:r w:rsidRPr="00CC2BEA">
        <w:rPr>
          <w:rFonts w:asciiTheme="majorBidi" w:hAnsiTheme="majorBidi" w:cstheme="majorBidi"/>
        </w:rPr>
        <w:t xml:space="preserve">Variation in disease severity on Col-0 following infection with the 10 </w:t>
      </w:r>
      <w:r w:rsidRPr="00CC2BEA">
        <w:rPr>
          <w:rFonts w:asciiTheme="majorBidi" w:hAnsiTheme="majorBidi" w:cstheme="majorBidi"/>
          <w:i/>
          <w:iCs/>
        </w:rPr>
        <w:t xml:space="preserve">M. scaettae </w:t>
      </w:r>
      <w:r w:rsidRPr="00CC2BEA">
        <w:rPr>
          <w:rFonts w:asciiTheme="majorBidi" w:hAnsiTheme="majorBidi" w:cstheme="majorBidi"/>
        </w:rPr>
        <w:t xml:space="preserve">strains. Mean DS scores at different days following </w:t>
      </w:r>
      <w:r w:rsidRPr="00CC2BEA">
        <w:rPr>
          <w:rFonts w:asciiTheme="majorBidi" w:hAnsiTheme="majorBidi" w:cstheme="majorBidi"/>
        </w:rPr>
        <w:lastRenderedPageBreak/>
        <w:t>infection are depicted by a heat map and grouped via hierarchical cluster analysis. The most and least virulent strains are indicated. No significant correlation between genetic variation (Fig. 4) and DS was observed</w:t>
      </w:r>
      <w:r w:rsidRPr="00CC2BEA">
        <w:rPr>
          <w:rFonts w:asciiTheme="majorBidi" w:hAnsiTheme="majorBidi" w:cstheme="majorBidi"/>
          <w:lang w:val="en-US"/>
        </w:rPr>
        <w:t xml:space="preserve"> </w:t>
      </w:r>
    </w:p>
    <w:p w:rsidR="001E5D3C" w:rsidRPr="00CC2BEA" w:rsidRDefault="001E5D3C" w:rsidP="00713CF3">
      <w:pPr>
        <w:jc w:val="center"/>
        <w:rPr>
          <w:rFonts w:asciiTheme="majorBidi" w:hAnsiTheme="majorBidi" w:cstheme="majorBidi"/>
          <w:lang w:val="en-US"/>
        </w:rPr>
      </w:pPr>
    </w:p>
    <w:p w:rsidR="001E5D3C" w:rsidRPr="00CC2BEA" w:rsidRDefault="001E5D3C" w:rsidP="001E5D3C">
      <w:pPr>
        <w:rPr>
          <w:rFonts w:asciiTheme="majorBidi" w:hAnsiTheme="majorBidi" w:cstheme="majorBidi"/>
          <w:lang w:val="en-US"/>
        </w:rPr>
      </w:pPr>
      <w:r w:rsidRPr="00CC2BEA">
        <w:rPr>
          <w:rFonts w:asciiTheme="majorBidi" w:hAnsiTheme="majorBidi" w:cstheme="majorBidi"/>
        </w:rPr>
        <w:t xml:space="preserve">Table.2: Disease Severity  on  Arabidopsis scoring </w:t>
      </w:r>
    </w:p>
    <w:tbl>
      <w:tblPr>
        <w:tblStyle w:val="Grilledutableau"/>
        <w:tblW w:w="7116" w:type="dxa"/>
        <w:tblLook w:val="04A0"/>
      </w:tblPr>
      <w:tblGrid>
        <w:gridCol w:w="1186"/>
        <w:gridCol w:w="1186"/>
        <w:gridCol w:w="1186"/>
        <w:gridCol w:w="1186"/>
        <w:gridCol w:w="1186"/>
        <w:gridCol w:w="1186"/>
      </w:tblGrid>
      <w:tr w:rsidR="001E5D3C" w:rsidRPr="001E5D3C" w:rsidTr="001E5D3C">
        <w:trPr>
          <w:trHeight w:val="363"/>
        </w:trPr>
        <w:tc>
          <w:tcPr>
            <w:tcW w:w="7116" w:type="dxa"/>
            <w:gridSpan w:val="6"/>
            <w:hideMark/>
          </w:tcPr>
          <w:p w:rsidR="001E5D3C" w:rsidRPr="001E5D3C" w:rsidRDefault="001E5D3C" w:rsidP="001E5D3C">
            <w:pPr>
              <w:jc w:val="center"/>
              <w:textAlignment w:val="center"/>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Diseases severity score </w:t>
            </w:r>
          </w:p>
        </w:tc>
      </w:tr>
      <w:tr w:rsidR="001E5D3C" w:rsidRPr="001E5D3C" w:rsidTr="001E5D3C">
        <w:trPr>
          <w:trHeight w:val="376"/>
        </w:trPr>
        <w:tc>
          <w:tcPr>
            <w:tcW w:w="1186" w:type="dxa"/>
            <w:hideMark/>
          </w:tcPr>
          <w:p w:rsidR="001E5D3C" w:rsidRPr="001E5D3C" w:rsidRDefault="001E5D3C" w:rsidP="001E5D3C">
            <w:pPr>
              <w:jc w:val="center"/>
              <w:textAlignment w:val="bottom"/>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0 </w:t>
            </w:r>
          </w:p>
        </w:tc>
        <w:tc>
          <w:tcPr>
            <w:tcW w:w="1186" w:type="dxa"/>
            <w:hideMark/>
          </w:tcPr>
          <w:p w:rsidR="001E5D3C" w:rsidRPr="001E5D3C" w:rsidRDefault="001E5D3C" w:rsidP="001E5D3C">
            <w:pPr>
              <w:jc w:val="center"/>
              <w:textAlignment w:val="bottom"/>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1 </w:t>
            </w:r>
          </w:p>
        </w:tc>
        <w:tc>
          <w:tcPr>
            <w:tcW w:w="1186" w:type="dxa"/>
            <w:hideMark/>
          </w:tcPr>
          <w:p w:rsidR="001E5D3C" w:rsidRPr="001E5D3C" w:rsidRDefault="001E5D3C" w:rsidP="001E5D3C">
            <w:pPr>
              <w:jc w:val="center"/>
              <w:textAlignment w:val="bottom"/>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2 </w:t>
            </w:r>
          </w:p>
        </w:tc>
        <w:tc>
          <w:tcPr>
            <w:tcW w:w="1186" w:type="dxa"/>
            <w:hideMark/>
          </w:tcPr>
          <w:p w:rsidR="001E5D3C" w:rsidRPr="001E5D3C" w:rsidRDefault="001E5D3C" w:rsidP="001E5D3C">
            <w:pPr>
              <w:jc w:val="center"/>
              <w:textAlignment w:val="bottom"/>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3 </w:t>
            </w:r>
          </w:p>
        </w:tc>
        <w:tc>
          <w:tcPr>
            <w:tcW w:w="1186" w:type="dxa"/>
            <w:hideMark/>
          </w:tcPr>
          <w:p w:rsidR="001E5D3C" w:rsidRPr="001E5D3C" w:rsidRDefault="001E5D3C" w:rsidP="001E5D3C">
            <w:pPr>
              <w:jc w:val="center"/>
              <w:textAlignment w:val="bottom"/>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4 </w:t>
            </w:r>
          </w:p>
        </w:tc>
        <w:tc>
          <w:tcPr>
            <w:tcW w:w="1186" w:type="dxa"/>
            <w:hideMark/>
          </w:tcPr>
          <w:p w:rsidR="001E5D3C" w:rsidRPr="001E5D3C" w:rsidRDefault="001E5D3C" w:rsidP="001E5D3C">
            <w:pPr>
              <w:jc w:val="center"/>
              <w:textAlignment w:val="bottom"/>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5 </w:t>
            </w:r>
          </w:p>
        </w:tc>
      </w:tr>
      <w:tr w:rsidR="001E5D3C" w:rsidRPr="001E5D3C" w:rsidTr="001E5D3C">
        <w:trPr>
          <w:trHeight w:val="1082"/>
        </w:trPr>
        <w:tc>
          <w:tcPr>
            <w:tcW w:w="1186" w:type="dxa"/>
            <w:hideMark/>
          </w:tcPr>
          <w:p w:rsidR="001E5D3C" w:rsidRPr="001E5D3C" w:rsidRDefault="001E5D3C" w:rsidP="001E5D3C">
            <w:pPr>
              <w:jc w:val="center"/>
              <w:textAlignment w:val="center"/>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Same as H</w:t>
            </w:r>
            <w:r w:rsidRPr="001E5D3C">
              <w:rPr>
                <w:rFonts w:asciiTheme="majorBidi" w:eastAsia="Times New Roman" w:hAnsiTheme="majorBidi" w:cstheme="majorBidi"/>
                <w:color w:val="000000"/>
                <w:kern w:val="24"/>
                <w:position w:val="-9"/>
                <w:vertAlign w:val="subscript"/>
                <w:lang w:eastAsia="fr-FR"/>
              </w:rPr>
              <w:t>2</w:t>
            </w:r>
            <w:r w:rsidRPr="001E5D3C">
              <w:rPr>
                <w:rFonts w:asciiTheme="majorBidi" w:eastAsia="Times New Roman" w:hAnsiTheme="majorBidi" w:cstheme="majorBidi"/>
                <w:color w:val="000000"/>
                <w:kern w:val="24"/>
                <w:lang w:eastAsia="fr-FR"/>
              </w:rPr>
              <w:t xml:space="preserve">O  controls </w:t>
            </w:r>
          </w:p>
        </w:tc>
        <w:tc>
          <w:tcPr>
            <w:tcW w:w="1186" w:type="dxa"/>
            <w:hideMark/>
          </w:tcPr>
          <w:p w:rsidR="001E5D3C" w:rsidRPr="001E5D3C" w:rsidRDefault="001E5D3C" w:rsidP="001E5D3C">
            <w:pPr>
              <w:jc w:val="center"/>
              <w:textAlignment w:val="center"/>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 Flecking (spots) </w:t>
            </w:r>
          </w:p>
        </w:tc>
        <w:tc>
          <w:tcPr>
            <w:tcW w:w="1186" w:type="dxa"/>
            <w:hideMark/>
          </w:tcPr>
          <w:p w:rsidR="001E5D3C" w:rsidRPr="001E5D3C" w:rsidRDefault="001E5D3C" w:rsidP="001E5D3C">
            <w:pPr>
              <w:jc w:val="center"/>
              <w:textAlignment w:val="center"/>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 Adaxial Necrosis </w:t>
            </w:r>
          </w:p>
        </w:tc>
        <w:tc>
          <w:tcPr>
            <w:tcW w:w="1186" w:type="dxa"/>
            <w:hideMark/>
          </w:tcPr>
          <w:p w:rsidR="001E5D3C" w:rsidRPr="001E5D3C" w:rsidRDefault="001E5D3C" w:rsidP="001E5D3C">
            <w:pPr>
              <w:jc w:val="center"/>
              <w:textAlignment w:val="center"/>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Adaxial/ Abaxial Necrosis </w:t>
            </w:r>
          </w:p>
        </w:tc>
        <w:tc>
          <w:tcPr>
            <w:tcW w:w="1186" w:type="dxa"/>
            <w:hideMark/>
          </w:tcPr>
          <w:p w:rsidR="001E5D3C" w:rsidRPr="001E5D3C" w:rsidRDefault="001E5D3C" w:rsidP="001E5D3C">
            <w:pPr>
              <w:jc w:val="center"/>
              <w:textAlignment w:val="center"/>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Necrosis + Chlorosis </w:t>
            </w:r>
          </w:p>
        </w:tc>
        <w:tc>
          <w:tcPr>
            <w:tcW w:w="1186" w:type="dxa"/>
            <w:hideMark/>
          </w:tcPr>
          <w:p w:rsidR="001E5D3C" w:rsidRPr="001E5D3C" w:rsidRDefault="001E5D3C" w:rsidP="001E5D3C">
            <w:pPr>
              <w:jc w:val="center"/>
              <w:textAlignment w:val="center"/>
              <w:rPr>
                <w:rFonts w:asciiTheme="majorBidi" w:eastAsia="Times New Roman" w:hAnsiTheme="majorBidi" w:cstheme="majorBidi"/>
                <w:lang w:val="fr-FR" w:eastAsia="fr-FR"/>
              </w:rPr>
            </w:pPr>
            <w:r w:rsidRPr="001E5D3C">
              <w:rPr>
                <w:rFonts w:asciiTheme="majorBidi" w:eastAsia="Times New Roman" w:hAnsiTheme="majorBidi" w:cstheme="majorBidi"/>
                <w:color w:val="000000"/>
                <w:kern w:val="24"/>
                <w:lang w:eastAsia="fr-FR"/>
              </w:rPr>
              <w:t xml:space="preserve">Whole leaf  death </w:t>
            </w:r>
          </w:p>
        </w:tc>
      </w:tr>
    </w:tbl>
    <w:p w:rsidR="00A90869" w:rsidRPr="00CC2BEA" w:rsidRDefault="00A90869" w:rsidP="001E5104">
      <w:pPr>
        <w:rPr>
          <w:rFonts w:asciiTheme="majorBidi" w:hAnsiTheme="majorBidi" w:cstheme="majorBidi"/>
          <w:lang w:val="en-US"/>
        </w:rPr>
      </w:pPr>
    </w:p>
    <w:p w:rsidR="00A90869" w:rsidRPr="00CC2BEA" w:rsidRDefault="00A90869" w:rsidP="001E5D3C">
      <w:pPr>
        <w:jc w:val="both"/>
        <w:rPr>
          <w:rFonts w:asciiTheme="majorBidi" w:hAnsiTheme="majorBidi" w:cstheme="majorBidi"/>
          <w:lang w:val="en-US"/>
        </w:rPr>
      </w:pPr>
      <w:r w:rsidRPr="00CC2BEA">
        <w:rPr>
          <w:rFonts w:asciiTheme="majorBidi" w:hAnsiTheme="majorBidi" w:cstheme="majorBidi"/>
          <w:b/>
          <w:bCs/>
        </w:rPr>
        <w:t xml:space="preserve">Fig. </w:t>
      </w:r>
      <w:r w:rsidR="001E5D3C" w:rsidRPr="00CC2BEA">
        <w:rPr>
          <w:rFonts w:asciiTheme="majorBidi" w:hAnsiTheme="majorBidi" w:cstheme="majorBidi"/>
          <w:b/>
          <w:bCs/>
        </w:rPr>
        <w:t>3</w:t>
      </w:r>
      <w:r w:rsidR="00A005D2" w:rsidRPr="00CC2BEA">
        <w:rPr>
          <w:rFonts w:asciiTheme="majorBidi" w:hAnsiTheme="majorBidi" w:cstheme="majorBidi"/>
          <w:b/>
          <w:bCs/>
        </w:rPr>
        <w:t xml:space="preserve">. </w:t>
      </w:r>
      <w:r w:rsidRPr="00CC2BEA">
        <w:rPr>
          <w:rFonts w:asciiTheme="majorBidi" w:hAnsiTheme="majorBidi" w:cstheme="majorBidi"/>
        </w:rPr>
        <w:t xml:space="preserve"> </w:t>
      </w:r>
      <w:r w:rsidRPr="00CC2BEA">
        <w:rPr>
          <w:rFonts w:asciiTheme="majorBidi" w:hAnsiTheme="majorBidi" w:cstheme="majorBidi"/>
          <w:b/>
          <w:bCs/>
        </w:rPr>
        <w:t>(A, B)</w:t>
      </w:r>
      <w:r w:rsidR="00A005D2" w:rsidRPr="00CC2BEA">
        <w:rPr>
          <w:rFonts w:asciiTheme="majorBidi" w:hAnsiTheme="majorBidi" w:cstheme="majorBidi"/>
          <w:b/>
          <w:bCs/>
        </w:rPr>
        <w:t xml:space="preserve"> </w:t>
      </w:r>
      <w:r w:rsidRPr="00CC2BEA">
        <w:rPr>
          <w:rFonts w:asciiTheme="majorBidi" w:hAnsiTheme="majorBidi" w:cstheme="majorBidi"/>
          <w:b/>
          <w:bCs/>
        </w:rPr>
        <w:t xml:space="preserve"> </w:t>
      </w:r>
      <w:r w:rsidRPr="00CC2BEA">
        <w:rPr>
          <w:rFonts w:asciiTheme="majorBidi" w:hAnsiTheme="majorBidi" w:cstheme="majorBidi"/>
        </w:rPr>
        <w:t>Diseases severity (DS</w:t>
      </w:r>
      <w:r w:rsidR="00713CF3" w:rsidRPr="00CC2BEA">
        <w:rPr>
          <w:rFonts w:asciiTheme="majorBidi" w:hAnsiTheme="majorBidi" w:cstheme="majorBidi"/>
        </w:rPr>
        <w:t>) in</w:t>
      </w:r>
      <w:r w:rsidRPr="00CC2BEA">
        <w:rPr>
          <w:rFonts w:asciiTheme="majorBidi" w:hAnsiTheme="majorBidi" w:cstheme="majorBidi"/>
        </w:rPr>
        <w:t xml:space="preserve"> Col-0 (see table 2). </w:t>
      </w:r>
      <w:r w:rsidRPr="00CC2BEA">
        <w:rPr>
          <w:rFonts w:asciiTheme="majorBidi" w:hAnsiTheme="majorBidi" w:cstheme="majorBidi"/>
          <w:b/>
          <w:bCs/>
        </w:rPr>
        <w:t xml:space="preserve">(C)  </w:t>
      </w:r>
      <w:r w:rsidRPr="00CC2BEA">
        <w:rPr>
          <w:rFonts w:asciiTheme="majorBidi" w:hAnsiTheme="majorBidi" w:cstheme="majorBidi"/>
        </w:rPr>
        <w:t xml:space="preserve">Variation in disease severity on Col-0 following infection with the 10 </w:t>
      </w:r>
      <w:r w:rsidRPr="00CC2BEA">
        <w:rPr>
          <w:rFonts w:asciiTheme="majorBidi" w:hAnsiTheme="majorBidi" w:cstheme="majorBidi"/>
          <w:i/>
          <w:iCs/>
        </w:rPr>
        <w:t xml:space="preserve">M. scaettae </w:t>
      </w:r>
      <w:r w:rsidR="00713CF3" w:rsidRPr="00CC2BEA">
        <w:rPr>
          <w:rFonts w:asciiTheme="majorBidi" w:hAnsiTheme="majorBidi" w:cstheme="majorBidi"/>
        </w:rPr>
        <w:t xml:space="preserve">strains. </w:t>
      </w:r>
      <w:r w:rsidRPr="00CC2BEA">
        <w:rPr>
          <w:rFonts w:asciiTheme="majorBidi" w:hAnsiTheme="majorBidi" w:cstheme="majorBidi"/>
        </w:rPr>
        <w:t xml:space="preserve">Mean DS scores at different days following infection are depicted by a heat map </w:t>
      </w:r>
      <w:r w:rsidR="00713CF3" w:rsidRPr="00CC2BEA">
        <w:rPr>
          <w:rFonts w:asciiTheme="majorBidi" w:hAnsiTheme="majorBidi" w:cstheme="majorBidi"/>
        </w:rPr>
        <w:t>and grouped</w:t>
      </w:r>
      <w:r w:rsidRPr="00CC2BEA">
        <w:rPr>
          <w:rFonts w:asciiTheme="majorBidi" w:hAnsiTheme="majorBidi" w:cstheme="majorBidi"/>
        </w:rPr>
        <w:t xml:space="preserve"> via hierarchical cluster analysis. The most and least virulent strains are indicated. No significant correlation between genetic variation (Fig. 4) and DS was observed</w:t>
      </w:r>
      <w:r w:rsidRPr="00CC2BEA">
        <w:rPr>
          <w:rFonts w:asciiTheme="majorBidi" w:hAnsiTheme="majorBidi" w:cstheme="majorBidi"/>
          <w:lang w:val="en-US"/>
        </w:rPr>
        <w:t xml:space="preserve"> </w:t>
      </w:r>
    </w:p>
    <w:p w:rsidR="00713CF3" w:rsidRPr="00CC2BEA" w:rsidRDefault="00713CF3" w:rsidP="00713CF3">
      <w:pPr>
        <w:jc w:val="center"/>
        <w:rPr>
          <w:rFonts w:asciiTheme="majorBidi" w:hAnsiTheme="majorBidi" w:cstheme="majorBidi"/>
          <w:lang w:val="en-US"/>
        </w:rPr>
      </w:pPr>
      <w:r w:rsidRPr="00CC2BEA">
        <w:rPr>
          <w:rFonts w:asciiTheme="majorBidi" w:hAnsiTheme="majorBidi" w:cstheme="majorBidi"/>
          <w:noProof/>
          <w:lang w:val="fr-FR" w:eastAsia="fr-FR"/>
        </w:rPr>
        <w:drawing>
          <wp:inline distT="0" distB="0" distL="0" distR="0">
            <wp:extent cx="3225082" cy="2321781"/>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3224929" cy="2321671"/>
                    </a:xfrm>
                    <a:prstGeom prst="rect">
                      <a:avLst/>
                    </a:prstGeom>
                    <a:noFill/>
                    <a:ln w="9525">
                      <a:noFill/>
                      <a:miter lim="800000"/>
                      <a:headEnd/>
                      <a:tailEnd/>
                    </a:ln>
                  </pic:spPr>
                </pic:pic>
              </a:graphicData>
            </a:graphic>
          </wp:inline>
        </w:drawing>
      </w:r>
    </w:p>
    <w:p w:rsidR="00A90869" w:rsidRPr="00CC2BEA" w:rsidRDefault="00A90869" w:rsidP="001E5104">
      <w:pPr>
        <w:rPr>
          <w:rFonts w:asciiTheme="majorBidi" w:hAnsiTheme="majorBidi" w:cstheme="majorBidi"/>
          <w:lang w:val="en-US"/>
        </w:rPr>
      </w:pPr>
    </w:p>
    <w:p w:rsidR="00713CF3" w:rsidRPr="00CC2BEA" w:rsidRDefault="00713CF3" w:rsidP="001E5D3C">
      <w:pPr>
        <w:rPr>
          <w:rFonts w:asciiTheme="majorBidi" w:hAnsiTheme="majorBidi" w:cstheme="majorBidi"/>
          <w:lang w:val="en-US"/>
        </w:rPr>
      </w:pPr>
      <w:r w:rsidRPr="00CC2BEA">
        <w:rPr>
          <w:rFonts w:asciiTheme="majorBidi" w:hAnsiTheme="majorBidi" w:cstheme="majorBidi"/>
          <w:b/>
          <w:bCs/>
        </w:rPr>
        <w:t xml:space="preserve">Fig. </w:t>
      </w:r>
      <w:r w:rsidR="001E5D3C" w:rsidRPr="00CC2BEA">
        <w:rPr>
          <w:rFonts w:asciiTheme="majorBidi" w:hAnsiTheme="majorBidi" w:cstheme="majorBidi"/>
          <w:b/>
          <w:bCs/>
        </w:rPr>
        <w:t>4.</w:t>
      </w:r>
      <w:r w:rsidRPr="00CC2BEA">
        <w:rPr>
          <w:rFonts w:asciiTheme="majorBidi" w:hAnsiTheme="majorBidi" w:cstheme="majorBidi"/>
        </w:rPr>
        <w:t xml:space="preserve"> Cytological analysis of </w:t>
      </w:r>
      <w:r w:rsidRPr="00CC2BEA">
        <w:rPr>
          <w:rFonts w:asciiTheme="majorBidi" w:hAnsiTheme="majorBidi" w:cstheme="majorBidi"/>
          <w:i/>
          <w:iCs/>
        </w:rPr>
        <w:t>Mauginiella</w:t>
      </w:r>
      <w:r w:rsidRPr="00CC2BEA">
        <w:rPr>
          <w:rFonts w:asciiTheme="majorBidi" w:hAnsiTheme="majorBidi" w:cstheme="majorBidi"/>
        </w:rPr>
        <w:t xml:space="preserve"> </w:t>
      </w:r>
      <w:r w:rsidRPr="00CC2BEA">
        <w:rPr>
          <w:rFonts w:asciiTheme="majorBidi" w:hAnsiTheme="majorBidi" w:cstheme="majorBidi"/>
          <w:i/>
          <w:iCs/>
        </w:rPr>
        <w:t>scaettae</w:t>
      </w:r>
      <w:r w:rsidRPr="00CC2BEA">
        <w:rPr>
          <w:rFonts w:asciiTheme="majorBidi" w:hAnsiTheme="majorBidi" w:cstheme="majorBidi"/>
        </w:rPr>
        <w:t xml:space="preserve"> growing invasively in </w:t>
      </w:r>
      <w:r w:rsidRPr="00CC2BEA">
        <w:rPr>
          <w:rFonts w:asciiTheme="majorBidi" w:hAnsiTheme="majorBidi" w:cstheme="majorBidi"/>
          <w:i/>
          <w:iCs/>
        </w:rPr>
        <w:t>Arabidopsis</w:t>
      </w:r>
      <w:r w:rsidRPr="00CC2BEA">
        <w:rPr>
          <w:rFonts w:asciiTheme="majorBidi" w:hAnsiTheme="majorBidi" w:cstheme="majorBidi"/>
        </w:rPr>
        <w:t xml:space="preserve"> </w:t>
      </w:r>
      <w:r w:rsidRPr="00CC2BEA">
        <w:rPr>
          <w:rFonts w:asciiTheme="majorBidi" w:hAnsiTheme="majorBidi" w:cstheme="majorBidi"/>
          <w:i/>
          <w:iCs/>
        </w:rPr>
        <w:t>thaliana</w:t>
      </w:r>
      <w:r w:rsidRPr="00CC2BEA">
        <w:rPr>
          <w:rFonts w:asciiTheme="majorBidi" w:hAnsiTheme="majorBidi" w:cstheme="majorBidi"/>
        </w:rPr>
        <w:t xml:space="preserve"> leaves via the stomata</w:t>
      </w:r>
    </w:p>
    <w:p w:rsidR="00713CF3" w:rsidRPr="00CC2BEA" w:rsidRDefault="00713CF3" w:rsidP="00713CF3">
      <w:pPr>
        <w:rPr>
          <w:rFonts w:asciiTheme="majorBidi" w:hAnsiTheme="majorBidi" w:cstheme="majorBidi"/>
          <w:lang w:val="en-US"/>
        </w:rPr>
      </w:pPr>
      <w:r w:rsidRPr="00CC2BEA">
        <w:rPr>
          <w:rFonts w:asciiTheme="majorBidi" w:hAnsiTheme="majorBidi" w:cstheme="majorBidi"/>
          <w:b/>
          <w:bCs/>
        </w:rPr>
        <w:t xml:space="preserve">A </w:t>
      </w:r>
      <w:r w:rsidRPr="00CC2BEA">
        <w:rPr>
          <w:rFonts w:asciiTheme="majorBidi" w:hAnsiTheme="majorBidi" w:cstheme="majorBidi"/>
        </w:rPr>
        <w:t xml:space="preserve">- Germination of </w:t>
      </w:r>
      <w:r w:rsidRPr="00CC2BEA">
        <w:rPr>
          <w:rFonts w:asciiTheme="majorBidi" w:hAnsiTheme="majorBidi" w:cstheme="majorBidi"/>
          <w:i/>
          <w:iCs/>
        </w:rPr>
        <w:t>M. scaettae</w:t>
      </w:r>
      <w:r w:rsidRPr="00CC2BEA">
        <w:rPr>
          <w:rFonts w:asciiTheme="majorBidi" w:hAnsiTheme="majorBidi" w:cstheme="majorBidi"/>
        </w:rPr>
        <w:t xml:space="preserve">  arthroconidia  at the leaf surface of</w:t>
      </w:r>
      <w:r w:rsidRPr="00CC2BEA">
        <w:rPr>
          <w:rFonts w:asciiTheme="majorBidi" w:hAnsiTheme="majorBidi" w:cstheme="majorBidi"/>
          <w:i/>
          <w:iCs/>
        </w:rPr>
        <w:t xml:space="preserve"> Arabidopsis</w:t>
      </w:r>
      <w:r w:rsidRPr="00CC2BEA">
        <w:rPr>
          <w:rFonts w:asciiTheme="majorBidi" w:hAnsiTheme="majorBidi" w:cstheme="majorBidi"/>
        </w:rPr>
        <w:t xml:space="preserve"> </w:t>
      </w:r>
      <w:r w:rsidRPr="00CC2BEA">
        <w:rPr>
          <w:rFonts w:asciiTheme="majorBidi" w:hAnsiTheme="majorBidi" w:cstheme="majorBidi"/>
          <w:i/>
          <w:iCs/>
        </w:rPr>
        <w:t xml:space="preserve">thaliana. </w:t>
      </w:r>
      <w:r w:rsidRPr="00CC2BEA">
        <w:rPr>
          <w:rFonts w:asciiTheme="majorBidi" w:hAnsiTheme="majorBidi" w:cstheme="majorBidi"/>
          <w:b/>
          <w:bCs/>
        </w:rPr>
        <w:t xml:space="preserve">B, C </w:t>
      </w:r>
      <w:r w:rsidRPr="00CC2BEA">
        <w:rPr>
          <w:rFonts w:asciiTheme="majorBidi" w:hAnsiTheme="majorBidi" w:cstheme="majorBidi"/>
          <w:i/>
          <w:iCs/>
        </w:rPr>
        <w:t>M. scaettae</w:t>
      </w:r>
      <w:r w:rsidRPr="00CC2BEA">
        <w:rPr>
          <w:rFonts w:asciiTheme="majorBidi" w:hAnsiTheme="majorBidi" w:cstheme="majorBidi"/>
        </w:rPr>
        <w:t xml:space="preserve"> hyphae penetrating the leaf surface of</w:t>
      </w:r>
      <w:r w:rsidRPr="00CC2BEA">
        <w:rPr>
          <w:rFonts w:asciiTheme="majorBidi" w:hAnsiTheme="majorBidi" w:cstheme="majorBidi"/>
          <w:i/>
          <w:iCs/>
        </w:rPr>
        <w:t xml:space="preserve"> Arabidopsis</w:t>
      </w:r>
      <w:r w:rsidRPr="00CC2BEA">
        <w:rPr>
          <w:rFonts w:asciiTheme="majorBidi" w:hAnsiTheme="majorBidi" w:cstheme="majorBidi"/>
        </w:rPr>
        <w:t xml:space="preserve"> </w:t>
      </w:r>
      <w:r w:rsidRPr="00CC2BEA">
        <w:rPr>
          <w:rFonts w:asciiTheme="majorBidi" w:hAnsiTheme="majorBidi" w:cstheme="majorBidi"/>
          <w:i/>
          <w:iCs/>
        </w:rPr>
        <w:t>thaliana</w:t>
      </w:r>
      <w:r w:rsidRPr="00CC2BEA">
        <w:rPr>
          <w:rFonts w:asciiTheme="majorBidi" w:hAnsiTheme="majorBidi" w:cstheme="majorBidi"/>
        </w:rPr>
        <w:t xml:space="preserve"> through stomata </w:t>
      </w:r>
      <w:r w:rsidRPr="00CC2BEA">
        <w:rPr>
          <w:rFonts w:asciiTheme="majorBidi" w:hAnsiTheme="majorBidi" w:cstheme="majorBidi"/>
          <w:b/>
          <w:bCs/>
        </w:rPr>
        <w:t>D</w:t>
      </w:r>
      <w:r w:rsidRPr="00CC2BEA">
        <w:rPr>
          <w:rFonts w:asciiTheme="majorBidi" w:hAnsiTheme="majorBidi" w:cstheme="majorBidi"/>
        </w:rPr>
        <w:t xml:space="preserve">- Micrograph with the haustorium in a sub-stomatal cavity.  </w:t>
      </w:r>
      <w:r w:rsidRPr="00CC2BEA">
        <w:rPr>
          <w:rFonts w:asciiTheme="majorBidi" w:hAnsiTheme="majorBidi" w:cstheme="majorBidi"/>
          <w:b/>
          <w:bCs/>
        </w:rPr>
        <w:t>E-</w:t>
      </w:r>
      <w:r w:rsidRPr="00CC2BEA">
        <w:rPr>
          <w:rFonts w:asciiTheme="majorBidi" w:hAnsiTheme="majorBidi" w:cstheme="majorBidi"/>
        </w:rPr>
        <w:t xml:space="preserve">  Extensive Intercellular invasion of the </w:t>
      </w:r>
      <w:r w:rsidRPr="00CC2BEA">
        <w:rPr>
          <w:rFonts w:asciiTheme="majorBidi" w:hAnsiTheme="majorBidi" w:cstheme="majorBidi"/>
          <w:i/>
          <w:iCs/>
        </w:rPr>
        <w:t>Arabidopsis</w:t>
      </w:r>
      <w:r w:rsidRPr="00CC2BEA">
        <w:rPr>
          <w:rFonts w:asciiTheme="majorBidi" w:hAnsiTheme="majorBidi" w:cstheme="majorBidi"/>
        </w:rPr>
        <w:t xml:space="preserve"> </w:t>
      </w:r>
      <w:r w:rsidRPr="00CC2BEA">
        <w:rPr>
          <w:rFonts w:asciiTheme="majorBidi" w:hAnsiTheme="majorBidi" w:cstheme="majorBidi"/>
          <w:i/>
          <w:iCs/>
        </w:rPr>
        <w:t>thaliana</w:t>
      </w:r>
      <w:r w:rsidRPr="00CC2BEA">
        <w:rPr>
          <w:rFonts w:asciiTheme="majorBidi" w:hAnsiTheme="majorBidi" w:cstheme="majorBidi"/>
        </w:rPr>
        <w:t xml:space="preserve"> leaf by </w:t>
      </w:r>
      <w:r w:rsidRPr="00CC2BEA">
        <w:rPr>
          <w:rFonts w:asciiTheme="majorBidi" w:hAnsiTheme="majorBidi" w:cstheme="majorBidi"/>
          <w:i/>
          <w:iCs/>
        </w:rPr>
        <w:t xml:space="preserve">M. </w:t>
      </w:r>
      <w:r w:rsidRPr="00CC2BEA">
        <w:rPr>
          <w:rFonts w:asciiTheme="majorBidi" w:hAnsiTheme="majorBidi" w:cstheme="majorBidi"/>
        </w:rPr>
        <w:t xml:space="preserve"> </w:t>
      </w:r>
      <w:r w:rsidRPr="00CC2BEA">
        <w:rPr>
          <w:rFonts w:asciiTheme="majorBidi" w:hAnsiTheme="majorBidi" w:cstheme="majorBidi"/>
          <w:i/>
          <w:iCs/>
        </w:rPr>
        <w:t xml:space="preserve">scaettae.  </w:t>
      </w:r>
      <w:r w:rsidRPr="00CC2BEA">
        <w:rPr>
          <w:rFonts w:asciiTheme="majorBidi" w:hAnsiTheme="majorBidi" w:cstheme="majorBidi"/>
        </w:rPr>
        <w:t xml:space="preserve">Bar = 20 um </w:t>
      </w:r>
    </w:p>
    <w:p w:rsidR="00713CF3" w:rsidRPr="00CC2BEA" w:rsidRDefault="00713CF3" w:rsidP="00713CF3">
      <w:pPr>
        <w:rPr>
          <w:rFonts w:asciiTheme="majorBidi" w:hAnsiTheme="majorBidi" w:cstheme="majorBidi"/>
        </w:rPr>
      </w:pPr>
      <w:r w:rsidRPr="00CC2BEA">
        <w:rPr>
          <w:rFonts w:asciiTheme="majorBidi" w:hAnsiTheme="majorBidi" w:cstheme="majorBidi"/>
        </w:rPr>
        <w:t>Hyphae (Hy), Haustoria (Ha) , Stomata (St) , Germ tube (Gt), arthroconidia one cell (As1) and arthroconidia  two cells (As2) are indicated.</w:t>
      </w:r>
      <w:r w:rsidRPr="00CC2BEA">
        <w:rPr>
          <w:rFonts w:asciiTheme="majorBidi" w:hAnsiTheme="majorBidi" w:cstheme="majorBidi"/>
          <w:b/>
          <w:bCs/>
        </w:rPr>
        <w:t xml:space="preserve">  </w:t>
      </w:r>
      <w:r w:rsidRPr="00CC2BEA">
        <w:rPr>
          <w:rFonts w:asciiTheme="majorBidi" w:hAnsiTheme="majorBidi" w:cstheme="majorBidi"/>
        </w:rPr>
        <w:t xml:space="preserve"> </w:t>
      </w:r>
    </w:p>
    <w:p w:rsidR="00713CF3" w:rsidRPr="00CC2BEA" w:rsidRDefault="00713CF3" w:rsidP="00713CF3">
      <w:pPr>
        <w:jc w:val="center"/>
        <w:rPr>
          <w:rFonts w:asciiTheme="majorBidi" w:hAnsiTheme="majorBidi" w:cstheme="majorBidi"/>
          <w:lang w:val="en-US"/>
        </w:rPr>
      </w:pPr>
      <w:r w:rsidRPr="00CC2BEA">
        <w:rPr>
          <w:rFonts w:asciiTheme="majorBidi" w:hAnsiTheme="majorBidi" w:cstheme="majorBidi"/>
          <w:noProof/>
          <w:lang w:val="fr-FR" w:eastAsia="fr-FR"/>
        </w:rPr>
        <w:lastRenderedPageBreak/>
        <w:drawing>
          <wp:inline distT="0" distB="0" distL="0" distR="0">
            <wp:extent cx="3879326" cy="2472855"/>
            <wp:effectExtent l="19050" t="0" r="6874"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srcRect/>
                    <a:stretch>
                      <a:fillRect/>
                    </a:stretch>
                  </pic:blipFill>
                  <pic:spPr bwMode="auto">
                    <a:xfrm>
                      <a:off x="0" y="0"/>
                      <a:ext cx="3882997" cy="2475195"/>
                    </a:xfrm>
                    <a:prstGeom prst="rect">
                      <a:avLst/>
                    </a:prstGeom>
                    <a:noFill/>
                    <a:ln w="9525">
                      <a:noFill/>
                      <a:miter lim="800000"/>
                      <a:headEnd/>
                      <a:tailEnd/>
                    </a:ln>
                  </pic:spPr>
                </pic:pic>
              </a:graphicData>
            </a:graphic>
          </wp:inline>
        </w:drawing>
      </w:r>
    </w:p>
    <w:p w:rsidR="00713CF3" w:rsidRPr="00CC2BEA" w:rsidRDefault="00713CF3" w:rsidP="001E5D3C">
      <w:pPr>
        <w:jc w:val="center"/>
        <w:rPr>
          <w:rFonts w:asciiTheme="majorBidi" w:hAnsiTheme="majorBidi" w:cstheme="majorBidi"/>
          <w:lang w:val="en-US"/>
        </w:rPr>
      </w:pPr>
      <w:r w:rsidRPr="00CC2BEA">
        <w:rPr>
          <w:rFonts w:asciiTheme="majorBidi" w:hAnsiTheme="majorBidi" w:cstheme="majorBidi"/>
          <w:b/>
          <w:bCs/>
        </w:rPr>
        <w:t xml:space="preserve">Fig. </w:t>
      </w:r>
      <w:r w:rsidR="001E5D3C" w:rsidRPr="00CC2BEA">
        <w:rPr>
          <w:rFonts w:asciiTheme="majorBidi" w:hAnsiTheme="majorBidi" w:cstheme="majorBidi"/>
          <w:b/>
          <w:bCs/>
        </w:rPr>
        <w:t>5</w:t>
      </w:r>
      <w:r w:rsidR="001E5D3C" w:rsidRPr="00CC2BEA">
        <w:rPr>
          <w:rFonts w:asciiTheme="majorBidi" w:hAnsiTheme="majorBidi" w:cstheme="majorBidi"/>
        </w:rPr>
        <w:t>.</w:t>
      </w:r>
      <w:r w:rsidRPr="00CC2BEA">
        <w:rPr>
          <w:rFonts w:asciiTheme="majorBidi" w:hAnsiTheme="majorBidi" w:cstheme="majorBidi"/>
        </w:rPr>
        <w:t xml:space="preserve"> Accumulation of callose compounds on </w:t>
      </w:r>
      <w:r w:rsidRPr="00CC2BEA">
        <w:rPr>
          <w:rFonts w:asciiTheme="majorBidi" w:hAnsiTheme="majorBidi" w:cstheme="majorBidi"/>
          <w:i/>
          <w:iCs/>
        </w:rPr>
        <w:t xml:space="preserve">Arabidopsis thaliana </w:t>
      </w:r>
      <w:r w:rsidRPr="00CC2BEA">
        <w:rPr>
          <w:rFonts w:asciiTheme="majorBidi" w:hAnsiTheme="majorBidi" w:cstheme="majorBidi"/>
        </w:rPr>
        <w:t>Col-0</w:t>
      </w:r>
      <w:r w:rsidR="00ED4E94" w:rsidRPr="00CC2BEA">
        <w:rPr>
          <w:rFonts w:asciiTheme="majorBidi" w:hAnsiTheme="majorBidi" w:cstheme="majorBidi"/>
        </w:rPr>
        <w:t>, leaves</w:t>
      </w:r>
      <w:r w:rsidRPr="00CC2BEA">
        <w:rPr>
          <w:rFonts w:asciiTheme="majorBidi" w:hAnsiTheme="majorBidi" w:cstheme="majorBidi"/>
        </w:rPr>
        <w:t xml:space="preserve"> infected with    </w:t>
      </w:r>
    </w:p>
    <w:p w:rsidR="00713CF3" w:rsidRPr="00CC2BEA" w:rsidRDefault="00713CF3" w:rsidP="00713CF3">
      <w:pPr>
        <w:jc w:val="center"/>
        <w:rPr>
          <w:rFonts w:asciiTheme="majorBidi" w:hAnsiTheme="majorBidi" w:cstheme="majorBidi"/>
          <w:lang w:val="en-US"/>
        </w:rPr>
      </w:pPr>
      <w:r w:rsidRPr="00CC2BEA">
        <w:rPr>
          <w:rFonts w:asciiTheme="majorBidi" w:hAnsiTheme="majorBidi" w:cstheme="majorBidi"/>
        </w:rPr>
        <w:t xml:space="preserve">   the </w:t>
      </w:r>
      <w:r w:rsidRPr="00CC2BEA">
        <w:rPr>
          <w:rFonts w:asciiTheme="majorBidi" w:hAnsiTheme="majorBidi" w:cstheme="majorBidi"/>
          <w:i/>
          <w:iCs/>
        </w:rPr>
        <w:t>Mauginiella</w:t>
      </w:r>
      <w:r w:rsidRPr="00CC2BEA">
        <w:rPr>
          <w:rFonts w:asciiTheme="majorBidi" w:hAnsiTheme="majorBidi" w:cstheme="majorBidi"/>
        </w:rPr>
        <w:t xml:space="preserve"> </w:t>
      </w:r>
      <w:r w:rsidRPr="00CC2BEA">
        <w:rPr>
          <w:rFonts w:asciiTheme="majorBidi" w:hAnsiTheme="majorBidi" w:cstheme="majorBidi"/>
          <w:i/>
          <w:iCs/>
        </w:rPr>
        <w:t>scaettae</w:t>
      </w:r>
      <w:r w:rsidRPr="00CC2BEA">
        <w:rPr>
          <w:rFonts w:asciiTheme="majorBidi" w:hAnsiTheme="majorBidi" w:cstheme="majorBidi"/>
        </w:rPr>
        <w:t xml:space="preserve"> strains, </w:t>
      </w:r>
    </w:p>
    <w:p w:rsidR="00713CF3" w:rsidRPr="00CC2BEA" w:rsidRDefault="00713CF3" w:rsidP="00713CF3">
      <w:pPr>
        <w:jc w:val="center"/>
        <w:rPr>
          <w:rFonts w:asciiTheme="majorBidi" w:hAnsiTheme="majorBidi" w:cstheme="majorBidi"/>
          <w:lang w:val="en-US"/>
        </w:rPr>
      </w:pPr>
      <w:r w:rsidRPr="00CC2BEA">
        <w:rPr>
          <w:rFonts w:asciiTheme="majorBidi" w:hAnsiTheme="majorBidi" w:cstheme="majorBidi"/>
          <w:b/>
          <w:bCs/>
        </w:rPr>
        <w:t xml:space="preserve">- </w:t>
      </w:r>
      <w:r w:rsidRPr="00CC2BEA">
        <w:rPr>
          <w:rFonts w:asciiTheme="majorBidi" w:hAnsiTheme="majorBidi" w:cstheme="majorBidi"/>
        </w:rPr>
        <w:t xml:space="preserve">The white arrow shows the accumulation of fluorescent phenolic compounds </w:t>
      </w:r>
    </w:p>
    <w:p w:rsidR="00713CF3" w:rsidRPr="00CC2BEA" w:rsidRDefault="00713CF3" w:rsidP="00713CF3">
      <w:pPr>
        <w:jc w:val="center"/>
        <w:rPr>
          <w:rFonts w:asciiTheme="majorBidi" w:hAnsiTheme="majorBidi" w:cstheme="majorBidi"/>
          <w:lang w:val="en-US"/>
        </w:rPr>
      </w:pPr>
      <w:r w:rsidRPr="00CC2BEA">
        <w:rPr>
          <w:rFonts w:asciiTheme="majorBidi" w:hAnsiTheme="majorBidi" w:cstheme="majorBidi"/>
        </w:rPr>
        <w:t xml:space="preserve">    around the cells at the penetration site revealed by aniline blue staining after 6 dpi </w:t>
      </w:r>
    </w:p>
    <w:p w:rsidR="00713CF3" w:rsidRPr="00CC2BEA" w:rsidRDefault="00713CF3" w:rsidP="00713CF3">
      <w:pPr>
        <w:jc w:val="center"/>
        <w:rPr>
          <w:rFonts w:asciiTheme="majorBidi" w:hAnsiTheme="majorBidi" w:cstheme="majorBidi"/>
          <w:lang w:val="en-US"/>
        </w:rPr>
      </w:pPr>
      <w:r w:rsidRPr="00CC2BEA">
        <w:rPr>
          <w:rFonts w:asciiTheme="majorBidi" w:hAnsiTheme="majorBidi" w:cstheme="majorBidi"/>
        </w:rPr>
        <w:t xml:space="preserve"> - The red arrow shows the spores and mycelium</w:t>
      </w:r>
    </w:p>
    <w:p w:rsidR="00713CF3" w:rsidRPr="00CC2BEA" w:rsidRDefault="00A005D2" w:rsidP="00713CF3">
      <w:pPr>
        <w:jc w:val="center"/>
        <w:rPr>
          <w:rFonts w:asciiTheme="majorBidi" w:hAnsiTheme="majorBidi" w:cstheme="majorBidi"/>
          <w:lang w:val="en-US"/>
        </w:rPr>
      </w:pPr>
      <w:r w:rsidRPr="00CC2BEA">
        <w:rPr>
          <w:rFonts w:asciiTheme="majorBidi" w:hAnsiTheme="majorBidi" w:cstheme="majorBidi"/>
          <w:noProof/>
          <w:lang w:val="fr-FR" w:eastAsia="fr-FR"/>
        </w:rPr>
        <w:drawing>
          <wp:inline distT="0" distB="0" distL="0" distR="0">
            <wp:extent cx="4929810" cy="1948070"/>
            <wp:effectExtent l="19050" t="0" r="414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936312" cy="1950640"/>
                    </a:xfrm>
                    <a:prstGeom prst="rect">
                      <a:avLst/>
                    </a:prstGeom>
                    <a:noFill/>
                    <a:ln w="9525">
                      <a:noFill/>
                      <a:miter lim="800000"/>
                      <a:headEnd/>
                      <a:tailEnd/>
                    </a:ln>
                  </pic:spPr>
                </pic:pic>
              </a:graphicData>
            </a:graphic>
          </wp:inline>
        </w:drawing>
      </w:r>
    </w:p>
    <w:p w:rsidR="00A005D2" w:rsidRPr="00CC2BEA" w:rsidRDefault="00A005D2" w:rsidP="001E5D3C">
      <w:pPr>
        <w:rPr>
          <w:rFonts w:asciiTheme="majorBidi" w:hAnsiTheme="majorBidi" w:cstheme="majorBidi"/>
          <w:lang w:val="en-US"/>
        </w:rPr>
      </w:pPr>
      <w:r w:rsidRPr="00CC2BEA">
        <w:rPr>
          <w:rFonts w:asciiTheme="majorBidi" w:hAnsiTheme="majorBidi" w:cstheme="majorBidi"/>
        </w:rPr>
        <w:t xml:space="preserve">                      </w:t>
      </w:r>
      <w:r w:rsidRPr="00CC2BEA">
        <w:rPr>
          <w:rFonts w:asciiTheme="majorBidi" w:hAnsiTheme="majorBidi" w:cstheme="majorBidi"/>
          <w:b/>
          <w:bCs/>
        </w:rPr>
        <w:t xml:space="preserve">Fig. </w:t>
      </w:r>
      <w:r w:rsidR="001E5D3C" w:rsidRPr="00CC2BEA">
        <w:rPr>
          <w:rFonts w:asciiTheme="majorBidi" w:hAnsiTheme="majorBidi" w:cstheme="majorBidi"/>
          <w:b/>
          <w:bCs/>
        </w:rPr>
        <w:t>6</w:t>
      </w:r>
      <w:r w:rsidRPr="00CC2BEA">
        <w:rPr>
          <w:rFonts w:asciiTheme="majorBidi" w:hAnsiTheme="majorBidi" w:cstheme="majorBidi"/>
          <w:b/>
          <w:bCs/>
        </w:rPr>
        <w:t xml:space="preserve"> </w:t>
      </w:r>
      <w:r w:rsidR="001E5D3C" w:rsidRPr="00CC2BEA">
        <w:rPr>
          <w:rFonts w:asciiTheme="majorBidi" w:hAnsiTheme="majorBidi" w:cstheme="majorBidi"/>
          <w:b/>
          <w:bCs/>
        </w:rPr>
        <w:t>.</w:t>
      </w:r>
      <w:r w:rsidRPr="00CC2BEA">
        <w:rPr>
          <w:rFonts w:asciiTheme="majorBidi" w:hAnsiTheme="majorBidi" w:cstheme="majorBidi"/>
        </w:rPr>
        <w:t xml:space="preserve">Diseases severity in </w:t>
      </w:r>
      <w:r w:rsidRPr="00CC2BEA">
        <w:rPr>
          <w:rFonts w:asciiTheme="majorBidi" w:hAnsiTheme="majorBidi" w:cstheme="majorBidi"/>
          <w:i/>
          <w:iCs/>
        </w:rPr>
        <w:t>eto-2,</w:t>
      </w:r>
      <w:r w:rsidRPr="00CC2BEA">
        <w:rPr>
          <w:rFonts w:asciiTheme="majorBidi" w:hAnsiTheme="majorBidi" w:cstheme="majorBidi"/>
        </w:rPr>
        <w:t xml:space="preserve"> </w:t>
      </w:r>
      <w:r w:rsidR="00CC2BEA" w:rsidRPr="00CC2BEA">
        <w:rPr>
          <w:rFonts w:asciiTheme="majorBidi" w:hAnsiTheme="majorBidi" w:cstheme="majorBidi"/>
          <w:i/>
          <w:iCs/>
        </w:rPr>
        <w:t>sid2 and</w:t>
      </w:r>
      <w:r w:rsidRPr="00CC2BEA">
        <w:rPr>
          <w:rFonts w:asciiTheme="majorBidi" w:hAnsiTheme="majorBidi" w:cstheme="majorBidi"/>
        </w:rPr>
        <w:t xml:space="preserve"> </w:t>
      </w:r>
      <w:r w:rsidRPr="00CC2BEA">
        <w:rPr>
          <w:rFonts w:asciiTheme="majorBidi" w:hAnsiTheme="majorBidi" w:cstheme="majorBidi"/>
          <w:i/>
          <w:iCs/>
        </w:rPr>
        <w:t xml:space="preserve">cpi1 </w:t>
      </w:r>
      <w:r w:rsidRPr="00CC2BEA">
        <w:rPr>
          <w:rFonts w:asciiTheme="majorBidi" w:hAnsiTheme="majorBidi" w:cstheme="majorBidi"/>
        </w:rPr>
        <w:t xml:space="preserve">(Bar = 1 cm) </w:t>
      </w:r>
    </w:p>
    <w:p w:rsidR="00A005D2" w:rsidRPr="00CC2BEA" w:rsidRDefault="00A005D2" w:rsidP="00713CF3">
      <w:pPr>
        <w:jc w:val="center"/>
        <w:rPr>
          <w:rFonts w:asciiTheme="majorBidi" w:hAnsiTheme="majorBidi" w:cstheme="majorBidi"/>
          <w:lang w:val="en-US"/>
        </w:rPr>
      </w:pPr>
      <w:r w:rsidRPr="00CC2BEA">
        <w:rPr>
          <w:rFonts w:asciiTheme="majorBidi" w:hAnsiTheme="majorBidi" w:cstheme="majorBidi"/>
          <w:noProof/>
          <w:lang w:val="fr-FR" w:eastAsia="fr-FR"/>
        </w:rPr>
        <w:lastRenderedPageBreak/>
        <w:drawing>
          <wp:inline distT="0" distB="0" distL="0" distR="0">
            <wp:extent cx="3792855" cy="2496820"/>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srcRect/>
                    <a:stretch>
                      <a:fillRect/>
                    </a:stretch>
                  </pic:blipFill>
                  <pic:spPr bwMode="auto">
                    <a:xfrm>
                      <a:off x="0" y="0"/>
                      <a:ext cx="3792855" cy="2496820"/>
                    </a:xfrm>
                    <a:prstGeom prst="rect">
                      <a:avLst/>
                    </a:prstGeom>
                    <a:noFill/>
                    <a:ln w="9525">
                      <a:noFill/>
                      <a:miter lim="800000"/>
                      <a:headEnd/>
                      <a:tailEnd/>
                    </a:ln>
                  </pic:spPr>
                </pic:pic>
              </a:graphicData>
            </a:graphic>
          </wp:inline>
        </w:drawing>
      </w:r>
    </w:p>
    <w:p w:rsidR="00A005D2" w:rsidRPr="00CC2BEA" w:rsidRDefault="00A005D2" w:rsidP="00CC2BEA">
      <w:pPr>
        <w:jc w:val="center"/>
        <w:rPr>
          <w:rFonts w:asciiTheme="majorBidi" w:hAnsiTheme="majorBidi" w:cstheme="majorBidi"/>
          <w:lang w:val="en-US"/>
        </w:rPr>
      </w:pPr>
      <w:r w:rsidRPr="00CC2BEA">
        <w:rPr>
          <w:rFonts w:asciiTheme="majorBidi" w:hAnsiTheme="majorBidi" w:cstheme="majorBidi"/>
          <w:b/>
          <w:bCs/>
        </w:rPr>
        <w:t>Fig.</w:t>
      </w:r>
      <w:r w:rsidR="00CC2BEA" w:rsidRPr="00CC2BEA">
        <w:rPr>
          <w:rFonts w:asciiTheme="majorBidi" w:hAnsiTheme="majorBidi" w:cstheme="majorBidi"/>
          <w:b/>
          <w:bCs/>
        </w:rPr>
        <w:t>7</w:t>
      </w:r>
      <w:r w:rsidR="001E5D3C" w:rsidRPr="00CC2BEA">
        <w:rPr>
          <w:rFonts w:asciiTheme="majorBidi" w:hAnsiTheme="majorBidi" w:cstheme="majorBidi"/>
          <w:b/>
          <w:bCs/>
        </w:rPr>
        <w:t>.</w:t>
      </w:r>
      <w:r w:rsidRPr="00CC2BEA">
        <w:rPr>
          <w:rFonts w:asciiTheme="majorBidi" w:hAnsiTheme="majorBidi" w:cstheme="majorBidi"/>
        </w:rPr>
        <w:t xml:space="preserve"> Heatmap showing the differential in </w:t>
      </w:r>
      <w:r w:rsidRPr="00CC2BEA">
        <w:rPr>
          <w:rFonts w:asciiTheme="majorBidi" w:hAnsiTheme="majorBidi" w:cstheme="majorBidi"/>
          <w:i/>
          <w:iCs/>
        </w:rPr>
        <w:t>Arabidopsis</w:t>
      </w:r>
      <w:r w:rsidRPr="00CC2BEA">
        <w:rPr>
          <w:rFonts w:asciiTheme="majorBidi" w:hAnsiTheme="majorBidi" w:cstheme="majorBidi"/>
        </w:rPr>
        <w:t xml:space="preserve"> </w:t>
      </w:r>
      <w:r w:rsidRPr="00CC2BEA">
        <w:rPr>
          <w:rFonts w:asciiTheme="majorBidi" w:hAnsiTheme="majorBidi" w:cstheme="majorBidi"/>
          <w:i/>
          <w:iCs/>
        </w:rPr>
        <w:t>thaliana</w:t>
      </w:r>
      <w:r w:rsidRPr="00CC2BEA">
        <w:rPr>
          <w:rFonts w:asciiTheme="majorBidi" w:hAnsiTheme="majorBidi" w:cstheme="majorBidi"/>
        </w:rPr>
        <w:t xml:space="preserve"> </w:t>
      </w:r>
      <w:r w:rsidR="001E5D3C" w:rsidRPr="00CC2BEA">
        <w:rPr>
          <w:rFonts w:asciiTheme="majorBidi" w:hAnsiTheme="majorBidi" w:cstheme="majorBidi"/>
        </w:rPr>
        <w:t>ecotypes plants</w:t>
      </w:r>
      <w:r w:rsidRPr="00CC2BEA">
        <w:rPr>
          <w:rFonts w:asciiTheme="majorBidi" w:hAnsiTheme="majorBidi" w:cstheme="majorBidi"/>
        </w:rPr>
        <w:t xml:space="preserve"> inoculated </w:t>
      </w:r>
      <w:r w:rsidR="001E5D3C" w:rsidRPr="00CC2BEA">
        <w:rPr>
          <w:rFonts w:asciiTheme="majorBidi" w:hAnsiTheme="majorBidi" w:cstheme="majorBidi"/>
        </w:rPr>
        <w:t xml:space="preserve">with </w:t>
      </w:r>
      <w:r w:rsidR="001E5D3C" w:rsidRPr="00CC2BEA">
        <w:rPr>
          <w:rFonts w:asciiTheme="majorBidi" w:hAnsiTheme="majorBidi" w:cstheme="majorBidi"/>
          <w:i/>
          <w:iCs/>
        </w:rPr>
        <w:t>Mauginiella</w:t>
      </w:r>
      <w:r w:rsidRPr="00CC2BEA">
        <w:rPr>
          <w:rFonts w:asciiTheme="majorBidi" w:hAnsiTheme="majorBidi" w:cstheme="majorBidi"/>
        </w:rPr>
        <w:t xml:space="preserve"> </w:t>
      </w:r>
      <w:r w:rsidRPr="00CC2BEA">
        <w:rPr>
          <w:rFonts w:asciiTheme="majorBidi" w:hAnsiTheme="majorBidi" w:cstheme="majorBidi"/>
          <w:i/>
          <w:iCs/>
        </w:rPr>
        <w:t>scaettae</w:t>
      </w:r>
      <w:r w:rsidRPr="00CC2BEA">
        <w:rPr>
          <w:rFonts w:asciiTheme="majorBidi" w:hAnsiTheme="majorBidi" w:cstheme="majorBidi"/>
        </w:rPr>
        <w:t xml:space="preserve"> strains   </w:t>
      </w:r>
    </w:p>
    <w:p w:rsidR="00713CF3" w:rsidRDefault="00A005D2" w:rsidP="00CC2BEA">
      <w:pPr>
        <w:jc w:val="both"/>
        <w:rPr>
          <w:rFonts w:asciiTheme="majorBidi" w:hAnsiTheme="majorBidi" w:cstheme="majorBidi"/>
        </w:rPr>
      </w:pPr>
      <w:r w:rsidRPr="00CC2BEA">
        <w:rPr>
          <w:rFonts w:asciiTheme="majorBidi" w:hAnsiTheme="majorBidi" w:cstheme="majorBidi"/>
        </w:rPr>
        <w:t xml:space="preserve">Variation in disease severity on Col-0, </w:t>
      </w:r>
      <w:r w:rsidRPr="00CC2BEA">
        <w:rPr>
          <w:rFonts w:asciiTheme="majorBidi" w:hAnsiTheme="majorBidi" w:cstheme="majorBidi"/>
          <w:i/>
          <w:iCs/>
        </w:rPr>
        <w:t>eto2, sid2</w:t>
      </w:r>
      <w:r w:rsidRPr="00CC2BEA">
        <w:rPr>
          <w:rFonts w:asciiTheme="majorBidi" w:hAnsiTheme="majorBidi" w:cstheme="majorBidi"/>
        </w:rPr>
        <w:t xml:space="preserve"> and </w:t>
      </w:r>
      <w:r w:rsidR="001E5D3C" w:rsidRPr="00CC2BEA">
        <w:rPr>
          <w:rFonts w:asciiTheme="majorBidi" w:hAnsiTheme="majorBidi" w:cstheme="majorBidi"/>
          <w:i/>
          <w:iCs/>
        </w:rPr>
        <w:t>cpr1 are</w:t>
      </w:r>
      <w:r w:rsidR="001E5D3C" w:rsidRPr="00CC2BEA">
        <w:rPr>
          <w:rFonts w:asciiTheme="majorBidi" w:hAnsiTheme="majorBidi" w:cstheme="majorBidi"/>
        </w:rPr>
        <w:t xml:space="preserve"> expressed</w:t>
      </w:r>
      <w:r w:rsidRPr="00CC2BEA">
        <w:rPr>
          <w:rFonts w:asciiTheme="majorBidi" w:hAnsiTheme="majorBidi" w:cstheme="majorBidi"/>
        </w:rPr>
        <w:t xml:space="preserve"> and following infection with 10 </w:t>
      </w:r>
      <w:r w:rsidRPr="00CC2BEA">
        <w:rPr>
          <w:rFonts w:asciiTheme="majorBidi" w:hAnsiTheme="majorBidi" w:cstheme="majorBidi"/>
          <w:i/>
          <w:iCs/>
        </w:rPr>
        <w:t xml:space="preserve">M. scaettae </w:t>
      </w:r>
      <w:r w:rsidR="001E5D3C" w:rsidRPr="00CC2BEA">
        <w:rPr>
          <w:rFonts w:asciiTheme="majorBidi" w:hAnsiTheme="majorBidi" w:cstheme="majorBidi"/>
        </w:rPr>
        <w:t xml:space="preserve">strains. </w:t>
      </w:r>
      <w:r w:rsidRPr="00CC2BEA">
        <w:rPr>
          <w:rFonts w:asciiTheme="majorBidi" w:hAnsiTheme="majorBidi" w:cstheme="majorBidi"/>
        </w:rPr>
        <w:t xml:space="preserve">Mean DS scores at different days following infection are expressed relative to </w:t>
      </w:r>
      <w:r w:rsidR="001E5D3C" w:rsidRPr="00CC2BEA">
        <w:rPr>
          <w:rFonts w:asciiTheme="majorBidi" w:hAnsiTheme="majorBidi" w:cstheme="majorBidi"/>
        </w:rPr>
        <w:t>the mean values obtained</w:t>
      </w:r>
      <w:r w:rsidRPr="00CC2BEA">
        <w:rPr>
          <w:rFonts w:asciiTheme="majorBidi" w:hAnsiTheme="majorBidi" w:cstheme="majorBidi"/>
        </w:rPr>
        <w:t xml:space="preserve"> for Col-0   (ie. less </w:t>
      </w:r>
      <w:r w:rsidR="001E5D3C" w:rsidRPr="00CC2BEA">
        <w:rPr>
          <w:rFonts w:asciiTheme="majorBidi" w:hAnsiTheme="majorBidi" w:cstheme="majorBidi"/>
        </w:rPr>
        <w:t>virulent</w:t>
      </w:r>
      <w:r w:rsidRPr="00CC2BEA">
        <w:rPr>
          <w:rFonts w:asciiTheme="majorBidi" w:hAnsiTheme="majorBidi" w:cstheme="majorBidi"/>
        </w:rPr>
        <w:t xml:space="preserve"> or more virulent). These mean differences depicted by a heat map </w:t>
      </w:r>
      <w:r w:rsidR="001E5D3C" w:rsidRPr="00CC2BEA">
        <w:rPr>
          <w:rFonts w:asciiTheme="majorBidi" w:hAnsiTheme="majorBidi" w:cstheme="majorBidi"/>
        </w:rPr>
        <w:t>and grouped</w:t>
      </w:r>
      <w:r w:rsidRPr="00CC2BEA">
        <w:rPr>
          <w:rFonts w:asciiTheme="majorBidi" w:hAnsiTheme="majorBidi" w:cstheme="majorBidi"/>
        </w:rPr>
        <w:t xml:space="preserve"> via hierarchical cluster analysis. The data suggest that e</w:t>
      </w:r>
      <w:r w:rsidRPr="00CC2BEA">
        <w:rPr>
          <w:rFonts w:asciiTheme="majorBidi" w:hAnsiTheme="majorBidi" w:cstheme="majorBidi"/>
          <w:i/>
          <w:iCs/>
        </w:rPr>
        <w:t xml:space="preserve">to2 </w:t>
      </w:r>
      <w:r w:rsidRPr="00CC2BEA">
        <w:rPr>
          <w:rFonts w:asciiTheme="majorBidi" w:hAnsiTheme="majorBidi" w:cstheme="majorBidi"/>
        </w:rPr>
        <w:t xml:space="preserve">and </w:t>
      </w:r>
      <w:r w:rsidRPr="00CC2BEA">
        <w:rPr>
          <w:rFonts w:asciiTheme="majorBidi" w:hAnsiTheme="majorBidi" w:cstheme="majorBidi"/>
          <w:i/>
          <w:iCs/>
        </w:rPr>
        <w:t xml:space="preserve">cpr1 </w:t>
      </w:r>
      <w:r w:rsidR="001E5D3C" w:rsidRPr="00CC2BEA">
        <w:rPr>
          <w:rFonts w:asciiTheme="majorBidi" w:hAnsiTheme="majorBidi" w:cstheme="majorBidi"/>
        </w:rPr>
        <w:t>display increased</w:t>
      </w:r>
      <w:r w:rsidRPr="00CC2BEA">
        <w:rPr>
          <w:rFonts w:asciiTheme="majorBidi" w:hAnsiTheme="majorBidi" w:cstheme="majorBidi"/>
        </w:rPr>
        <w:t xml:space="preserve"> susceptible to the 10 </w:t>
      </w:r>
      <w:r w:rsidRPr="00CC2BEA">
        <w:rPr>
          <w:rFonts w:asciiTheme="majorBidi" w:hAnsiTheme="majorBidi" w:cstheme="majorBidi"/>
          <w:i/>
          <w:iCs/>
        </w:rPr>
        <w:t xml:space="preserve">M. scaettae </w:t>
      </w:r>
      <w:r w:rsidRPr="00CC2BEA">
        <w:rPr>
          <w:rFonts w:asciiTheme="majorBidi" w:hAnsiTheme="majorBidi" w:cstheme="majorBidi"/>
        </w:rPr>
        <w:t xml:space="preserve">strains and </w:t>
      </w:r>
      <w:r w:rsidRPr="00CC2BEA">
        <w:rPr>
          <w:rFonts w:asciiTheme="majorBidi" w:hAnsiTheme="majorBidi" w:cstheme="majorBidi"/>
          <w:i/>
          <w:iCs/>
        </w:rPr>
        <w:t xml:space="preserve">sid2 </w:t>
      </w:r>
      <w:r w:rsidRPr="00CC2BEA">
        <w:rPr>
          <w:rFonts w:asciiTheme="majorBidi" w:hAnsiTheme="majorBidi" w:cstheme="majorBidi"/>
        </w:rPr>
        <w:t>more resistance.</w:t>
      </w:r>
    </w:p>
    <w:p w:rsidR="00CC2BEA" w:rsidRPr="00CC2BEA" w:rsidRDefault="00CC2BEA" w:rsidP="00CC2BEA">
      <w:pPr>
        <w:jc w:val="both"/>
        <w:rPr>
          <w:rFonts w:asciiTheme="majorBidi" w:hAnsiTheme="majorBidi" w:cstheme="majorBidi"/>
          <w:lang w:val="en-US"/>
        </w:rPr>
      </w:pPr>
    </w:p>
    <w:p w:rsidR="00CC2BEA" w:rsidRPr="00CC2BEA" w:rsidRDefault="00CC2BEA" w:rsidP="00CC2BEA">
      <w:pPr>
        <w:jc w:val="both"/>
        <w:rPr>
          <w:rFonts w:asciiTheme="majorBidi" w:hAnsiTheme="majorBidi" w:cstheme="majorBidi"/>
          <w:b/>
        </w:rPr>
      </w:pPr>
      <w:r w:rsidRPr="00CC2BEA">
        <w:rPr>
          <w:rFonts w:asciiTheme="majorBidi" w:hAnsiTheme="majorBidi" w:cstheme="majorBidi"/>
          <w:b/>
        </w:rPr>
        <w:t>Biography</w:t>
      </w:r>
    </w:p>
    <w:p w:rsidR="00CC2BEA" w:rsidRPr="00CC2BEA" w:rsidRDefault="00CC2BEA" w:rsidP="00CC2BEA">
      <w:pPr>
        <w:pStyle w:val="Paragraphedeliste"/>
        <w:numPr>
          <w:ilvl w:val="0"/>
          <w:numId w:val="3"/>
        </w:numPr>
        <w:spacing w:after="0"/>
        <w:rPr>
          <w:rFonts w:asciiTheme="majorBidi" w:hAnsiTheme="majorBidi" w:cstheme="majorBidi"/>
          <w:lang w:val="it-IT"/>
        </w:rPr>
      </w:pPr>
      <w:r w:rsidRPr="00CC2BEA">
        <w:rPr>
          <w:rFonts w:asciiTheme="majorBidi" w:hAnsiTheme="majorBidi" w:cstheme="majorBidi"/>
          <w:lang w:val="it-IT"/>
        </w:rPr>
        <w:t>Abdullah S. K; Asensio L.; Monfort E.; Gomez-Vidal S.; Palma-Guerrero J.; Salinas J.;Lopez-</w:t>
      </w:r>
    </w:p>
    <w:p w:rsidR="00CC2BEA" w:rsidRPr="00CC2BEA" w:rsidRDefault="00CC2BEA" w:rsidP="00CC2BEA">
      <w:pPr>
        <w:pStyle w:val="Paragraphedeliste"/>
        <w:spacing w:after="0"/>
        <w:rPr>
          <w:rFonts w:asciiTheme="majorBidi" w:hAnsiTheme="majorBidi" w:cstheme="majorBidi"/>
          <w:lang w:val="en-US"/>
        </w:rPr>
      </w:pPr>
      <w:r w:rsidRPr="00CC2BEA">
        <w:rPr>
          <w:rFonts w:asciiTheme="majorBidi" w:hAnsiTheme="majorBidi" w:cstheme="majorBidi"/>
          <w:lang w:val="it-IT"/>
        </w:rPr>
        <w:t xml:space="preserve">Llorca   </w:t>
      </w:r>
      <w:r w:rsidRPr="00CC2BEA">
        <w:rPr>
          <w:rFonts w:asciiTheme="majorBidi" w:hAnsiTheme="majorBidi" w:cstheme="majorBidi"/>
        </w:rPr>
        <w:t xml:space="preserve">L.V.; Jansson H.B.; Guarro J. (2005). Occurrence in </w:t>
      </w:r>
    </w:p>
    <w:p w:rsidR="00CC2BEA" w:rsidRDefault="00CC2BEA" w:rsidP="00CC2BEA">
      <w:pPr>
        <w:spacing w:after="0"/>
        <w:rPr>
          <w:rFonts w:asciiTheme="majorBidi" w:hAnsiTheme="majorBidi" w:cstheme="majorBidi"/>
        </w:rPr>
      </w:pPr>
      <w:r w:rsidRPr="00CC2BEA">
        <w:rPr>
          <w:rFonts w:asciiTheme="majorBidi" w:hAnsiTheme="majorBidi" w:cstheme="majorBidi"/>
        </w:rPr>
        <w:t xml:space="preserve">    </w:t>
      </w:r>
      <w:r>
        <w:rPr>
          <w:rFonts w:asciiTheme="majorBidi" w:hAnsiTheme="majorBidi" w:cstheme="majorBidi"/>
        </w:rPr>
        <w:t xml:space="preserve">      </w:t>
      </w:r>
      <w:r w:rsidRPr="00CC2BEA">
        <w:rPr>
          <w:rFonts w:asciiTheme="majorBidi" w:hAnsiTheme="majorBidi" w:cstheme="majorBidi"/>
        </w:rPr>
        <w:t xml:space="preserve"> </w:t>
      </w:r>
      <w:r>
        <w:rPr>
          <w:rFonts w:asciiTheme="majorBidi" w:hAnsiTheme="majorBidi" w:cstheme="majorBidi"/>
        </w:rPr>
        <w:t xml:space="preserve"> </w:t>
      </w:r>
      <w:r w:rsidRPr="00CC2BEA">
        <w:rPr>
          <w:rFonts w:asciiTheme="majorBidi" w:hAnsiTheme="majorBidi" w:cstheme="majorBidi"/>
        </w:rPr>
        <w:t xml:space="preserve">  Elx,  SE Spain of inflorescence rot disease of  date  palms caused by </w:t>
      </w:r>
      <w:r w:rsidRPr="00CC2BEA">
        <w:rPr>
          <w:rFonts w:asciiTheme="majorBidi" w:hAnsiTheme="majorBidi" w:cstheme="majorBidi"/>
          <w:i/>
          <w:iCs/>
        </w:rPr>
        <w:t>Mauginiella</w:t>
      </w:r>
      <w:r w:rsidRPr="00CC2BEA">
        <w:rPr>
          <w:rFonts w:asciiTheme="majorBidi" w:hAnsiTheme="majorBidi" w:cstheme="majorBidi"/>
        </w:rPr>
        <w:t xml:space="preserve"> </w:t>
      </w:r>
      <w:r w:rsidRPr="00CC2BEA">
        <w:rPr>
          <w:rFonts w:asciiTheme="majorBidi" w:hAnsiTheme="majorBidi" w:cstheme="majorBidi"/>
          <w:i/>
          <w:iCs/>
        </w:rPr>
        <w:t>scaettae</w:t>
      </w:r>
      <w:r w:rsidRPr="00CC2BEA">
        <w:rPr>
          <w:rFonts w:asciiTheme="majorBidi" w:hAnsiTheme="majorBidi" w:cstheme="majorBidi"/>
        </w:rPr>
        <w:t xml:space="preserve">  J. </w:t>
      </w:r>
      <w:r>
        <w:rPr>
          <w:rFonts w:asciiTheme="majorBidi" w:hAnsiTheme="majorBidi" w:cstheme="majorBidi"/>
        </w:rPr>
        <w:t xml:space="preserve"> </w:t>
      </w:r>
    </w:p>
    <w:p w:rsidR="00CC2BEA" w:rsidRDefault="00CC2BEA" w:rsidP="00CC2BEA">
      <w:pPr>
        <w:spacing w:after="0" w:line="240" w:lineRule="auto"/>
        <w:rPr>
          <w:rFonts w:asciiTheme="majorBidi" w:hAnsiTheme="majorBidi" w:cstheme="majorBidi"/>
        </w:rPr>
      </w:pPr>
      <w:r>
        <w:rPr>
          <w:rFonts w:asciiTheme="majorBidi" w:hAnsiTheme="majorBidi" w:cstheme="majorBidi"/>
        </w:rPr>
        <w:t xml:space="preserve">               </w:t>
      </w:r>
      <w:r w:rsidRPr="00CC2BEA">
        <w:rPr>
          <w:rFonts w:asciiTheme="majorBidi" w:hAnsiTheme="majorBidi" w:cstheme="majorBidi"/>
        </w:rPr>
        <w:t>Phytopathol.</w:t>
      </w:r>
      <w:r w:rsidRPr="00CC2BEA">
        <w:rPr>
          <w:rFonts w:asciiTheme="majorBidi" w:hAnsiTheme="majorBidi" w:cstheme="majorBidi"/>
          <w:u w:val="single"/>
        </w:rPr>
        <w:t>153</w:t>
      </w:r>
      <w:r w:rsidRPr="00CC2BEA">
        <w:rPr>
          <w:rFonts w:asciiTheme="majorBidi" w:hAnsiTheme="majorBidi" w:cstheme="majorBidi"/>
        </w:rPr>
        <w:t>:417-422</w:t>
      </w:r>
      <w:r>
        <w:rPr>
          <w:rFonts w:asciiTheme="majorBidi" w:hAnsiTheme="majorBidi" w:cstheme="majorBidi"/>
        </w:rPr>
        <w:br/>
        <w:t xml:space="preserve">        </w:t>
      </w:r>
      <w:r w:rsidRPr="00CC2BEA">
        <w:rPr>
          <w:rFonts w:asciiTheme="majorBidi" w:hAnsiTheme="majorBidi" w:cstheme="majorBidi"/>
        </w:rPr>
        <w:t xml:space="preserve">2- </w:t>
      </w:r>
      <w:r>
        <w:rPr>
          <w:rFonts w:asciiTheme="majorBidi" w:hAnsiTheme="majorBidi" w:cstheme="majorBidi"/>
        </w:rPr>
        <w:t xml:space="preserve"> </w:t>
      </w:r>
      <w:r w:rsidRPr="00CC2BEA">
        <w:rPr>
          <w:rFonts w:asciiTheme="majorBidi" w:hAnsiTheme="majorBidi" w:cstheme="majorBidi"/>
        </w:rPr>
        <w:t xml:space="preserve">AL-Ani, H. Y.; EL-Behadli, A.; Majeed, H. A. and Majeed, M..(1971a). Reaction of date </w:t>
      </w:r>
      <w:r>
        <w:rPr>
          <w:rFonts w:asciiTheme="majorBidi" w:hAnsiTheme="majorBidi" w:cstheme="majorBidi"/>
        </w:rPr>
        <w:t xml:space="preserve"> </w:t>
      </w:r>
    </w:p>
    <w:p w:rsidR="00CC2BEA" w:rsidRDefault="00CC2BEA" w:rsidP="00CC2BEA">
      <w:pPr>
        <w:spacing w:after="0" w:line="240" w:lineRule="auto"/>
        <w:rPr>
          <w:rFonts w:asciiTheme="majorBidi" w:hAnsiTheme="majorBidi" w:cstheme="majorBidi"/>
        </w:rPr>
      </w:pPr>
      <w:r>
        <w:rPr>
          <w:rFonts w:asciiTheme="majorBidi" w:hAnsiTheme="majorBidi" w:cstheme="majorBidi"/>
        </w:rPr>
        <w:t xml:space="preserve">              </w:t>
      </w:r>
      <w:r w:rsidRPr="00CC2BEA">
        <w:rPr>
          <w:rFonts w:asciiTheme="majorBidi" w:hAnsiTheme="majorBidi" w:cstheme="majorBidi"/>
        </w:rPr>
        <w:t xml:space="preserve">palm  </w:t>
      </w:r>
      <w:r>
        <w:rPr>
          <w:rFonts w:asciiTheme="majorBidi" w:hAnsiTheme="majorBidi" w:cstheme="majorBidi"/>
        </w:rPr>
        <w:t xml:space="preserve"> </w:t>
      </w:r>
      <w:r w:rsidRPr="00CC2BEA">
        <w:rPr>
          <w:rFonts w:asciiTheme="majorBidi" w:hAnsiTheme="majorBidi" w:cstheme="majorBidi"/>
        </w:rPr>
        <w:t xml:space="preserve">cultivars to  inflorescence rot and  persistency and  spreading  of the diseases . </w:t>
      </w:r>
    </w:p>
    <w:p w:rsidR="00CC2BEA" w:rsidRDefault="00CC2BEA" w:rsidP="00CC2BEA">
      <w:pPr>
        <w:spacing w:after="0" w:line="240" w:lineRule="auto"/>
        <w:rPr>
          <w:rFonts w:asciiTheme="majorBidi" w:hAnsiTheme="majorBidi" w:cstheme="majorBidi"/>
          <w:lang w:val="fr-FR"/>
        </w:rPr>
      </w:pPr>
      <w:r w:rsidRPr="00CC2BEA">
        <w:rPr>
          <w:rFonts w:asciiTheme="majorBidi" w:hAnsiTheme="majorBidi" w:cstheme="majorBidi"/>
          <w:lang w:val="fr-FR"/>
        </w:rPr>
        <w:t xml:space="preserve">              Phytopath.Medit.  </w:t>
      </w:r>
      <w:r w:rsidRPr="00CC2BEA">
        <w:rPr>
          <w:rFonts w:asciiTheme="majorBidi" w:hAnsiTheme="majorBidi" w:cstheme="majorBidi"/>
          <w:u w:val="single"/>
          <w:lang w:val="fr-FR"/>
        </w:rPr>
        <w:t>10:</w:t>
      </w:r>
      <w:r w:rsidRPr="00CC2BEA">
        <w:rPr>
          <w:rFonts w:asciiTheme="majorBidi" w:hAnsiTheme="majorBidi" w:cstheme="majorBidi"/>
          <w:lang w:val="fr-FR"/>
        </w:rPr>
        <w:t xml:space="preserve"> 57-62</w:t>
      </w:r>
    </w:p>
    <w:p w:rsidR="00213316" w:rsidRDefault="00213316" w:rsidP="00213316">
      <w:pPr>
        <w:spacing w:after="0"/>
        <w:rPr>
          <w:rFonts w:asciiTheme="majorBidi" w:hAnsiTheme="majorBidi" w:cstheme="majorBidi"/>
        </w:rPr>
      </w:pPr>
      <w:r>
        <w:rPr>
          <w:rFonts w:asciiTheme="majorBidi" w:hAnsiTheme="majorBidi" w:cstheme="majorBidi"/>
        </w:rPr>
        <w:t xml:space="preserve">        3 </w:t>
      </w:r>
      <w:r w:rsidRPr="00CC2BEA">
        <w:rPr>
          <w:rFonts w:asciiTheme="majorBidi" w:hAnsiTheme="majorBidi" w:cstheme="majorBidi"/>
        </w:rPr>
        <w:t xml:space="preserve">- Bowling S.A.; Guo A.; Cao H.; Gordon A. S. ; Klessig D.F. and X. Dong X. (1994). A  </w:t>
      </w:r>
    </w:p>
    <w:p w:rsidR="00213316" w:rsidRDefault="00213316" w:rsidP="00213316">
      <w:pPr>
        <w:spacing w:after="0"/>
        <w:rPr>
          <w:rFonts w:asciiTheme="majorBidi" w:hAnsiTheme="majorBidi" w:cstheme="majorBidi"/>
        </w:rPr>
      </w:pPr>
      <w:r>
        <w:rPr>
          <w:rFonts w:asciiTheme="majorBidi" w:hAnsiTheme="majorBidi" w:cstheme="majorBidi"/>
        </w:rPr>
        <w:t xml:space="preserve">              </w:t>
      </w:r>
      <w:r w:rsidRPr="00CC2BEA">
        <w:rPr>
          <w:rFonts w:asciiTheme="majorBidi" w:hAnsiTheme="majorBidi" w:cstheme="majorBidi"/>
        </w:rPr>
        <w:t xml:space="preserve">mutation in  Arabidopsis that leads to constitutive expression of   systemic acquired </w:t>
      </w:r>
    </w:p>
    <w:p w:rsidR="00213316" w:rsidRPr="00CC2BEA" w:rsidRDefault="00213316" w:rsidP="00213316">
      <w:pPr>
        <w:spacing w:after="0"/>
        <w:rPr>
          <w:rFonts w:asciiTheme="majorBidi" w:hAnsiTheme="majorBidi" w:cstheme="majorBidi"/>
          <w:lang w:val="en-US"/>
        </w:rPr>
      </w:pPr>
      <w:r>
        <w:rPr>
          <w:rFonts w:asciiTheme="majorBidi" w:hAnsiTheme="majorBidi" w:cstheme="majorBidi"/>
        </w:rPr>
        <w:t xml:space="preserve">             </w:t>
      </w:r>
      <w:r w:rsidRPr="00CC2BEA">
        <w:rPr>
          <w:rFonts w:asciiTheme="majorBidi" w:hAnsiTheme="majorBidi" w:cstheme="majorBidi"/>
        </w:rPr>
        <w:t xml:space="preserve">resistance, The Plant Cell. </w:t>
      </w:r>
      <w:r w:rsidRPr="00CC2BEA">
        <w:rPr>
          <w:rFonts w:asciiTheme="majorBidi" w:hAnsiTheme="majorBidi" w:cstheme="majorBidi"/>
          <w:u w:val="single"/>
        </w:rPr>
        <w:t>6</w:t>
      </w:r>
      <w:r w:rsidRPr="00CC2BEA">
        <w:rPr>
          <w:rFonts w:asciiTheme="majorBidi" w:hAnsiTheme="majorBidi" w:cstheme="majorBidi"/>
        </w:rPr>
        <w:t>: 1845- 1857.</w:t>
      </w:r>
    </w:p>
    <w:p w:rsidR="00CC2BEA" w:rsidRPr="00213316" w:rsidRDefault="00CC2BEA" w:rsidP="00213316">
      <w:pPr>
        <w:pStyle w:val="Paragraphedeliste"/>
        <w:numPr>
          <w:ilvl w:val="0"/>
          <w:numId w:val="7"/>
        </w:numPr>
        <w:spacing w:after="0" w:line="240" w:lineRule="auto"/>
        <w:rPr>
          <w:rFonts w:asciiTheme="majorBidi" w:hAnsiTheme="majorBidi" w:cstheme="majorBidi"/>
          <w:lang w:val="it-IT"/>
        </w:rPr>
      </w:pPr>
      <w:r w:rsidRPr="00213316">
        <w:rPr>
          <w:rFonts w:asciiTheme="majorBidi" w:hAnsiTheme="majorBidi" w:cstheme="majorBidi"/>
          <w:lang w:val="it-IT"/>
        </w:rPr>
        <w:t xml:space="preserve">Cavara F. (1925b). Mauginiella scaettae Cav. nuovo ifomicete parassita della palma da datteri  </w:t>
      </w:r>
    </w:p>
    <w:p w:rsidR="00CC2BEA" w:rsidRDefault="00CC2BEA" w:rsidP="00CC2BEA">
      <w:pPr>
        <w:spacing w:after="0" w:line="240" w:lineRule="auto"/>
        <w:rPr>
          <w:rFonts w:asciiTheme="majorBidi" w:hAnsiTheme="majorBidi" w:cstheme="majorBidi"/>
          <w:b/>
          <w:bCs/>
          <w:lang w:val="it-IT"/>
        </w:rPr>
      </w:pPr>
      <w:r>
        <w:rPr>
          <w:rFonts w:asciiTheme="majorBidi" w:hAnsiTheme="majorBidi" w:cstheme="majorBidi"/>
          <w:lang w:val="it-IT"/>
        </w:rPr>
        <w:t xml:space="preserve">             </w:t>
      </w:r>
      <w:r w:rsidRPr="00CC2BEA">
        <w:rPr>
          <w:rFonts w:asciiTheme="majorBidi" w:hAnsiTheme="majorBidi" w:cstheme="majorBidi"/>
          <w:lang w:val="it-IT"/>
        </w:rPr>
        <w:t xml:space="preserve">in  Cirenacia. Bol OrtoBot Napoli </w:t>
      </w:r>
      <w:r w:rsidRPr="00CC2BEA">
        <w:rPr>
          <w:rFonts w:asciiTheme="majorBidi" w:hAnsiTheme="majorBidi" w:cstheme="majorBidi"/>
          <w:u w:val="single"/>
          <w:lang w:val="it-IT"/>
        </w:rPr>
        <w:t>08</w:t>
      </w:r>
      <w:r w:rsidRPr="00CC2BEA">
        <w:rPr>
          <w:rFonts w:asciiTheme="majorBidi" w:hAnsiTheme="majorBidi" w:cstheme="majorBidi"/>
          <w:lang w:val="it-IT"/>
        </w:rPr>
        <w:t>: 207–211.</w:t>
      </w:r>
      <w:r w:rsidRPr="00CC2BEA">
        <w:rPr>
          <w:rFonts w:asciiTheme="majorBidi" w:hAnsiTheme="majorBidi" w:cstheme="majorBidi"/>
          <w:b/>
          <w:bCs/>
          <w:lang w:val="it-IT"/>
        </w:rPr>
        <w:t xml:space="preserve"> </w:t>
      </w:r>
    </w:p>
    <w:p w:rsidR="00213316" w:rsidRPr="00213316" w:rsidRDefault="00213316" w:rsidP="00213316">
      <w:pPr>
        <w:pStyle w:val="Paragraphedeliste"/>
        <w:numPr>
          <w:ilvl w:val="0"/>
          <w:numId w:val="7"/>
        </w:numPr>
        <w:spacing w:after="0"/>
        <w:rPr>
          <w:rFonts w:asciiTheme="majorBidi" w:hAnsiTheme="majorBidi" w:cstheme="majorBidi"/>
          <w:lang w:val="en-US"/>
        </w:rPr>
      </w:pPr>
      <w:r w:rsidRPr="00213316">
        <w:rPr>
          <w:rFonts w:asciiTheme="majorBidi" w:hAnsiTheme="majorBidi" w:cstheme="majorBidi"/>
        </w:rPr>
        <w:t>Carpenter J.B and Elmer H.S. 1978 . Pest and diseases of the date palm. In : Agriculture Handbook.  Californie : U.S. date and citrus station, 42 p.</w:t>
      </w:r>
    </w:p>
    <w:p w:rsidR="00213316" w:rsidRPr="00213316" w:rsidRDefault="00213316" w:rsidP="00213316">
      <w:pPr>
        <w:pStyle w:val="Paragraphedeliste"/>
        <w:numPr>
          <w:ilvl w:val="0"/>
          <w:numId w:val="7"/>
        </w:numPr>
        <w:spacing w:after="0"/>
        <w:rPr>
          <w:rFonts w:asciiTheme="majorBidi" w:hAnsiTheme="majorBidi" w:cstheme="majorBidi"/>
          <w:lang w:val="en-US"/>
        </w:rPr>
      </w:pPr>
      <w:r w:rsidRPr="00213316">
        <w:rPr>
          <w:rFonts w:asciiTheme="majorBidi" w:hAnsiTheme="majorBidi" w:cstheme="majorBidi"/>
        </w:rPr>
        <w:t xml:space="preserve">Chae H. S.; Faure F. and  Kieber J. J. (2003).The eto1, eto2, and eto3 Mutations and   Cytokinin  Treatment Increase Ethylene Biosynthesis in   </w:t>
      </w:r>
    </w:p>
    <w:p w:rsidR="00213316" w:rsidRPr="00213316" w:rsidRDefault="00213316" w:rsidP="00213316">
      <w:pPr>
        <w:spacing w:after="0"/>
        <w:ind w:left="360"/>
        <w:rPr>
          <w:rFonts w:asciiTheme="majorBidi" w:hAnsiTheme="majorBidi" w:cstheme="majorBidi"/>
          <w:lang w:val="en-US"/>
        </w:rPr>
      </w:pPr>
      <w:r>
        <w:rPr>
          <w:rFonts w:asciiTheme="majorBidi" w:hAnsiTheme="majorBidi" w:cstheme="majorBidi"/>
          <w:lang w:val="en-US"/>
        </w:rPr>
        <w:t xml:space="preserve">     </w:t>
      </w:r>
      <w:r w:rsidRPr="00213316">
        <w:rPr>
          <w:rFonts w:asciiTheme="majorBidi" w:hAnsiTheme="majorBidi" w:cstheme="majorBidi"/>
        </w:rPr>
        <w:t xml:space="preserve">  Arabidopsis by increasing the  Stability of ACS Protein ThePlant Cell. 15: 545–559.</w:t>
      </w:r>
    </w:p>
    <w:p w:rsidR="00CC2BEA" w:rsidRPr="00213316" w:rsidRDefault="00CC2BEA" w:rsidP="00213316">
      <w:pPr>
        <w:pStyle w:val="Paragraphedeliste"/>
        <w:numPr>
          <w:ilvl w:val="0"/>
          <w:numId w:val="7"/>
        </w:numPr>
        <w:spacing w:after="0"/>
        <w:rPr>
          <w:rFonts w:asciiTheme="majorBidi" w:hAnsiTheme="majorBidi" w:cstheme="majorBidi"/>
        </w:rPr>
      </w:pPr>
      <w:r w:rsidRPr="00213316">
        <w:rPr>
          <w:rFonts w:asciiTheme="majorBidi" w:hAnsiTheme="majorBidi" w:cstheme="majorBidi"/>
        </w:rPr>
        <w:t>Djerbi M. (1983)</w:t>
      </w:r>
      <w:r w:rsidRPr="00213316">
        <w:rPr>
          <w:rFonts w:asciiTheme="majorBidi" w:hAnsiTheme="majorBidi" w:cstheme="majorBidi"/>
          <w:b/>
          <w:bCs/>
        </w:rPr>
        <w:t>.</w:t>
      </w:r>
      <w:r w:rsidRPr="00213316">
        <w:rPr>
          <w:rFonts w:asciiTheme="majorBidi" w:hAnsiTheme="majorBidi" w:cstheme="majorBidi"/>
        </w:rPr>
        <w:t xml:space="preserve"> Diseases  of date palm </w:t>
      </w:r>
      <w:r w:rsidRPr="00213316">
        <w:rPr>
          <w:rFonts w:asciiTheme="majorBidi" w:hAnsiTheme="majorBidi" w:cstheme="majorBidi"/>
          <w:i/>
          <w:iCs/>
        </w:rPr>
        <w:t>Phoenix</w:t>
      </w:r>
      <w:r w:rsidRPr="00213316">
        <w:rPr>
          <w:rFonts w:asciiTheme="majorBidi" w:hAnsiTheme="majorBidi" w:cstheme="majorBidi"/>
        </w:rPr>
        <w:t xml:space="preserve"> </w:t>
      </w:r>
      <w:r w:rsidRPr="00213316">
        <w:rPr>
          <w:rFonts w:asciiTheme="majorBidi" w:hAnsiTheme="majorBidi" w:cstheme="majorBidi"/>
          <w:i/>
          <w:iCs/>
        </w:rPr>
        <w:t>dactylifera</w:t>
      </w:r>
      <w:r w:rsidRPr="00213316">
        <w:rPr>
          <w:rFonts w:asciiTheme="majorBidi" w:hAnsiTheme="majorBidi" w:cstheme="majorBidi"/>
        </w:rPr>
        <w:t xml:space="preserve">. Near East and Africa, FAO  </w:t>
      </w:r>
    </w:p>
    <w:p w:rsidR="00CC2BEA" w:rsidRDefault="00CC2BEA" w:rsidP="00CC2BEA">
      <w:pPr>
        <w:spacing w:after="0"/>
        <w:ind w:left="360"/>
        <w:rPr>
          <w:rFonts w:asciiTheme="majorBidi" w:hAnsiTheme="majorBidi" w:cstheme="majorBidi"/>
        </w:rPr>
      </w:pPr>
      <w:r>
        <w:rPr>
          <w:rFonts w:asciiTheme="majorBidi" w:hAnsiTheme="majorBidi" w:cstheme="majorBidi"/>
        </w:rPr>
        <w:t xml:space="preserve">       </w:t>
      </w:r>
      <w:r w:rsidRPr="00CC2BEA">
        <w:rPr>
          <w:rFonts w:asciiTheme="majorBidi" w:hAnsiTheme="majorBidi" w:cstheme="majorBidi"/>
        </w:rPr>
        <w:t>regional project for palm dates research centre 106pp</w:t>
      </w:r>
      <w:r w:rsidR="00213316">
        <w:rPr>
          <w:rFonts w:asciiTheme="majorBidi" w:hAnsiTheme="majorBidi" w:cstheme="majorBidi"/>
        </w:rPr>
        <w:t xml:space="preserve"> </w:t>
      </w:r>
    </w:p>
    <w:p w:rsidR="00213316" w:rsidRPr="00213316" w:rsidRDefault="00213316" w:rsidP="00213316">
      <w:pPr>
        <w:pStyle w:val="Paragraphedeliste"/>
        <w:numPr>
          <w:ilvl w:val="0"/>
          <w:numId w:val="7"/>
        </w:numPr>
        <w:spacing w:after="0"/>
        <w:rPr>
          <w:rFonts w:asciiTheme="majorBidi" w:hAnsiTheme="majorBidi" w:cstheme="majorBidi"/>
          <w:lang w:val="fr-FR"/>
        </w:rPr>
      </w:pPr>
      <w:r w:rsidRPr="00213316">
        <w:rPr>
          <w:rFonts w:asciiTheme="majorBidi" w:hAnsiTheme="majorBidi" w:cstheme="majorBidi"/>
          <w:lang w:val="fr-FR"/>
        </w:rPr>
        <w:t xml:space="preserve">Données climatiques de la région d’Ouargla (2001-2010), (O.N.M., 2010) </w:t>
      </w:r>
    </w:p>
    <w:p w:rsidR="00213316" w:rsidRPr="00213316" w:rsidRDefault="00213316" w:rsidP="00213316">
      <w:pPr>
        <w:pStyle w:val="Paragraphedeliste"/>
        <w:numPr>
          <w:ilvl w:val="0"/>
          <w:numId w:val="7"/>
        </w:numPr>
        <w:spacing w:after="0"/>
        <w:rPr>
          <w:rFonts w:asciiTheme="majorBidi" w:hAnsiTheme="majorBidi" w:cstheme="majorBidi"/>
        </w:rPr>
      </w:pPr>
      <w:r w:rsidRPr="00213316">
        <w:rPr>
          <w:rFonts w:asciiTheme="majorBidi" w:hAnsiTheme="majorBidi" w:cstheme="majorBidi"/>
        </w:rPr>
        <w:lastRenderedPageBreak/>
        <w:t xml:space="preserve">Hood M. E. and Shew H. D. (1996). Applications of KOH-Aniline Blue Fluorescence in the Study   of  Plant-Fungal Interactions. Phytopathology.  </w:t>
      </w:r>
      <w:r w:rsidRPr="00213316">
        <w:rPr>
          <w:rFonts w:asciiTheme="majorBidi" w:hAnsiTheme="majorBidi" w:cstheme="majorBidi"/>
          <w:u w:val="single"/>
        </w:rPr>
        <w:t>86</w:t>
      </w:r>
      <w:r w:rsidRPr="00213316">
        <w:rPr>
          <w:rFonts w:asciiTheme="majorBidi" w:hAnsiTheme="majorBidi" w:cstheme="majorBidi"/>
        </w:rPr>
        <w:t xml:space="preserve">:704-708. </w:t>
      </w:r>
    </w:p>
    <w:p w:rsidR="00CC2BEA" w:rsidRPr="00213316" w:rsidRDefault="00CC2BEA" w:rsidP="00213316">
      <w:pPr>
        <w:pStyle w:val="Paragraphedeliste"/>
        <w:numPr>
          <w:ilvl w:val="0"/>
          <w:numId w:val="7"/>
        </w:numPr>
        <w:spacing w:after="0"/>
        <w:rPr>
          <w:rFonts w:asciiTheme="majorBidi" w:hAnsiTheme="majorBidi" w:cstheme="majorBidi"/>
        </w:rPr>
      </w:pPr>
      <w:r w:rsidRPr="00213316">
        <w:rPr>
          <w:rFonts w:asciiTheme="majorBidi" w:hAnsiTheme="majorBidi" w:cstheme="majorBidi"/>
        </w:rPr>
        <w:t>Ploetz  R.C. 2003. Disease of date</w:t>
      </w:r>
      <w:r w:rsidR="00213316">
        <w:rPr>
          <w:rFonts w:asciiTheme="majorBidi" w:hAnsiTheme="majorBidi" w:cstheme="majorBidi"/>
        </w:rPr>
        <w:t xml:space="preserve"> </w:t>
      </w:r>
      <w:r w:rsidRPr="00213316">
        <w:rPr>
          <w:rFonts w:asciiTheme="majorBidi" w:hAnsiTheme="majorBidi" w:cstheme="majorBidi"/>
        </w:rPr>
        <w:t xml:space="preserve">( Chapter 9 in Diseases of tropical fruits crops). CAB </w:t>
      </w:r>
    </w:p>
    <w:p w:rsidR="00CC2BEA" w:rsidRPr="00CC2BEA" w:rsidRDefault="00CC2BEA" w:rsidP="00CC2BEA">
      <w:pPr>
        <w:pStyle w:val="Paragraphedeliste"/>
        <w:spacing w:after="0"/>
        <w:rPr>
          <w:rFonts w:asciiTheme="majorBidi" w:hAnsiTheme="majorBidi" w:cstheme="majorBidi"/>
        </w:rPr>
      </w:pPr>
      <w:r>
        <w:rPr>
          <w:rFonts w:asciiTheme="majorBidi" w:hAnsiTheme="majorBidi" w:cstheme="majorBidi"/>
        </w:rPr>
        <w:t xml:space="preserve"> </w:t>
      </w:r>
      <w:r w:rsidRPr="00CC2BEA">
        <w:rPr>
          <w:rFonts w:asciiTheme="majorBidi" w:hAnsiTheme="majorBidi" w:cstheme="majorBidi"/>
        </w:rPr>
        <w:t>publishing, British  library, London, UK Library of Congress,  Washington, DC, USA.  PP: 235- 236.</w:t>
      </w:r>
    </w:p>
    <w:p w:rsidR="00213316" w:rsidRDefault="00213316" w:rsidP="00213316">
      <w:pPr>
        <w:spacing w:after="0"/>
        <w:rPr>
          <w:rFonts w:asciiTheme="majorBidi" w:hAnsiTheme="majorBidi" w:cstheme="majorBidi"/>
        </w:rPr>
      </w:pPr>
      <w:r>
        <w:rPr>
          <w:rFonts w:asciiTheme="majorBidi" w:hAnsiTheme="majorBidi" w:cstheme="majorBidi"/>
          <w:lang w:val="en-US"/>
        </w:rPr>
        <w:t xml:space="preserve">    </w:t>
      </w:r>
      <w:r w:rsidR="00CC2BEA" w:rsidRPr="00CC2BEA">
        <w:rPr>
          <w:rFonts w:asciiTheme="majorBidi" w:hAnsiTheme="majorBidi" w:cstheme="majorBidi"/>
          <w:lang w:val="en-US"/>
        </w:rPr>
        <w:t> </w:t>
      </w:r>
      <w:r w:rsidR="00CC2BEA" w:rsidRPr="00213316">
        <w:rPr>
          <w:rFonts w:asciiTheme="majorBidi" w:hAnsiTheme="majorBidi" w:cstheme="majorBidi"/>
        </w:rPr>
        <w:t xml:space="preserve">11 - Nawrath C. and Jean-Pierre Métraux J.-P. (1999).Salicylic Acid Induction–Deficient Mutants </w:t>
      </w:r>
    </w:p>
    <w:p w:rsidR="00213316" w:rsidRDefault="00213316" w:rsidP="00213316">
      <w:pPr>
        <w:spacing w:after="0"/>
        <w:rPr>
          <w:rFonts w:asciiTheme="majorBidi" w:hAnsiTheme="majorBidi" w:cstheme="majorBidi"/>
        </w:rPr>
      </w:pPr>
      <w:r>
        <w:rPr>
          <w:rFonts w:asciiTheme="majorBidi" w:hAnsiTheme="majorBidi" w:cstheme="majorBidi"/>
        </w:rPr>
        <w:t xml:space="preserve">            </w:t>
      </w:r>
      <w:r w:rsidR="00CC2BEA" w:rsidRPr="00213316">
        <w:rPr>
          <w:rFonts w:asciiTheme="majorBidi" w:hAnsiTheme="majorBidi" w:cstheme="majorBidi"/>
        </w:rPr>
        <w:t xml:space="preserve">of   Arabidopsis Express </w:t>
      </w:r>
      <w:r w:rsidR="00CC2BEA" w:rsidRPr="00213316">
        <w:rPr>
          <w:rFonts w:asciiTheme="majorBidi" w:hAnsiTheme="majorBidi" w:cstheme="majorBidi"/>
          <w:i/>
          <w:iCs/>
        </w:rPr>
        <w:t xml:space="preserve">PR-2 </w:t>
      </w:r>
      <w:r w:rsidR="00CC2BEA" w:rsidRPr="00213316">
        <w:rPr>
          <w:rFonts w:asciiTheme="majorBidi" w:hAnsiTheme="majorBidi" w:cstheme="majorBidi"/>
        </w:rPr>
        <w:t xml:space="preserve">and </w:t>
      </w:r>
      <w:r w:rsidR="00CC2BEA" w:rsidRPr="00213316">
        <w:rPr>
          <w:rFonts w:asciiTheme="majorBidi" w:hAnsiTheme="majorBidi" w:cstheme="majorBidi"/>
          <w:i/>
          <w:iCs/>
        </w:rPr>
        <w:t xml:space="preserve">PR-5 </w:t>
      </w:r>
      <w:r w:rsidR="00CC2BEA" w:rsidRPr="00213316">
        <w:rPr>
          <w:rFonts w:asciiTheme="majorBidi" w:hAnsiTheme="majorBidi" w:cstheme="majorBidi"/>
        </w:rPr>
        <w:t xml:space="preserve">and Accumulate  </w:t>
      </w:r>
      <w:r w:rsidR="00CC2BEA" w:rsidRPr="00CC2BEA">
        <w:rPr>
          <w:rFonts w:asciiTheme="majorBidi" w:hAnsiTheme="majorBidi" w:cstheme="majorBidi"/>
        </w:rPr>
        <w:t xml:space="preserve">High Levels of Camalexin after </w:t>
      </w:r>
      <w:r>
        <w:rPr>
          <w:rFonts w:asciiTheme="majorBidi" w:hAnsiTheme="majorBidi" w:cstheme="majorBidi"/>
        </w:rPr>
        <w:t xml:space="preserve"> </w:t>
      </w:r>
    </w:p>
    <w:p w:rsidR="00CC2BEA" w:rsidRDefault="00213316" w:rsidP="00213316">
      <w:pPr>
        <w:spacing w:after="0"/>
        <w:rPr>
          <w:rFonts w:asciiTheme="majorBidi" w:hAnsiTheme="majorBidi" w:cstheme="majorBidi"/>
        </w:rPr>
      </w:pPr>
      <w:r>
        <w:rPr>
          <w:rFonts w:asciiTheme="majorBidi" w:hAnsiTheme="majorBidi" w:cstheme="majorBidi"/>
        </w:rPr>
        <w:t xml:space="preserve">            </w:t>
      </w:r>
      <w:r w:rsidR="00CC2BEA" w:rsidRPr="00CC2BEA">
        <w:rPr>
          <w:rFonts w:asciiTheme="majorBidi" w:hAnsiTheme="majorBidi" w:cstheme="majorBidi"/>
        </w:rPr>
        <w:t xml:space="preserve">Pathogen  Inoculation The Plant Cell. </w:t>
      </w:r>
      <w:r w:rsidR="00CC2BEA" w:rsidRPr="00CC2BEA">
        <w:rPr>
          <w:rFonts w:asciiTheme="majorBidi" w:hAnsiTheme="majorBidi" w:cstheme="majorBidi"/>
          <w:u w:val="single"/>
        </w:rPr>
        <w:t>11</w:t>
      </w:r>
      <w:r w:rsidR="00CC2BEA" w:rsidRPr="00CC2BEA">
        <w:rPr>
          <w:rFonts w:asciiTheme="majorBidi" w:hAnsiTheme="majorBidi" w:cstheme="majorBidi"/>
        </w:rPr>
        <w:t xml:space="preserve">:1393-1404. </w:t>
      </w:r>
    </w:p>
    <w:p w:rsidR="00213316" w:rsidRDefault="00213316" w:rsidP="00213316">
      <w:pPr>
        <w:spacing w:after="0"/>
        <w:ind w:left="284"/>
        <w:rPr>
          <w:rFonts w:asciiTheme="majorBidi" w:hAnsiTheme="majorBidi" w:cstheme="majorBidi"/>
        </w:rPr>
      </w:pPr>
      <w:r>
        <w:rPr>
          <w:rFonts w:asciiTheme="majorBidi" w:hAnsiTheme="majorBidi" w:cstheme="majorBidi"/>
        </w:rPr>
        <w:t>12</w:t>
      </w:r>
      <w:r w:rsidRPr="00CC2BEA">
        <w:rPr>
          <w:rFonts w:asciiTheme="majorBidi" w:hAnsiTheme="majorBidi" w:cstheme="majorBidi"/>
        </w:rPr>
        <w:t>- Zolan ME, Pukkila PJ. (1986)</w:t>
      </w:r>
      <w:r>
        <w:rPr>
          <w:rFonts w:asciiTheme="majorBidi" w:hAnsiTheme="majorBidi" w:cstheme="majorBidi"/>
        </w:rPr>
        <w:t xml:space="preserve">  </w:t>
      </w:r>
      <w:r w:rsidRPr="00CC2BEA">
        <w:rPr>
          <w:rFonts w:asciiTheme="majorBidi" w:hAnsiTheme="majorBidi" w:cstheme="majorBidi"/>
        </w:rPr>
        <w:t xml:space="preserve">Inheritance of DNA methylation in Coprinus cinereus. Mol Cell </w:t>
      </w:r>
      <w:r>
        <w:rPr>
          <w:rFonts w:asciiTheme="majorBidi" w:hAnsiTheme="majorBidi" w:cstheme="majorBidi"/>
        </w:rPr>
        <w:t xml:space="preserve">  </w:t>
      </w:r>
    </w:p>
    <w:p w:rsidR="00213316" w:rsidRPr="00CC2BEA" w:rsidRDefault="00213316" w:rsidP="00213316">
      <w:pPr>
        <w:spacing w:after="0"/>
        <w:ind w:left="284"/>
        <w:rPr>
          <w:rFonts w:asciiTheme="majorBidi" w:hAnsiTheme="majorBidi" w:cstheme="majorBidi"/>
          <w:lang w:val="en-US"/>
        </w:rPr>
      </w:pPr>
      <w:r>
        <w:rPr>
          <w:rFonts w:asciiTheme="majorBidi" w:hAnsiTheme="majorBidi" w:cstheme="majorBidi"/>
        </w:rPr>
        <w:t xml:space="preserve">       </w:t>
      </w:r>
      <w:r w:rsidRPr="00CC2BEA">
        <w:rPr>
          <w:rFonts w:asciiTheme="majorBidi" w:hAnsiTheme="majorBidi" w:cstheme="majorBidi"/>
        </w:rPr>
        <w:t xml:space="preserve">Biol </w:t>
      </w:r>
      <w:r w:rsidRPr="00CC2BEA">
        <w:rPr>
          <w:rFonts w:asciiTheme="majorBidi" w:hAnsiTheme="majorBidi" w:cstheme="majorBidi"/>
          <w:u w:val="single"/>
        </w:rPr>
        <w:t>6</w:t>
      </w:r>
      <w:r w:rsidRPr="00CC2BEA">
        <w:rPr>
          <w:rFonts w:asciiTheme="majorBidi" w:hAnsiTheme="majorBidi" w:cstheme="majorBidi"/>
        </w:rPr>
        <w:t>:195</w:t>
      </w:r>
      <w:r>
        <w:rPr>
          <w:rFonts w:asciiTheme="majorBidi" w:hAnsiTheme="majorBidi" w:cstheme="majorBidi"/>
        </w:rPr>
        <w:t>-</w:t>
      </w:r>
      <w:r w:rsidRPr="00CC2BEA">
        <w:rPr>
          <w:rFonts w:asciiTheme="majorBidi" w:hAnsiTheme="majorBidi" w:cstheme="majorBidi"/>
        </w:rPr>
        <w:t xml:space="preserve"> 200.</w:t>
      </w:r>
    </w:p>
    <w:p w:rsidR="00213316" w:rsidRPr="00213316" w:rsidRDefault="00213316" w:rsidP="00CC2BEA">
      <w:pPr>
        <w:spacing w:after="0"/>
        <w:rPr>
          <w:rFonts w:asciiTheme="majorBidi" w:hAnsiTheme="majorBidi" w:cstheme="majorBidi"/>
          <w:lang w:val="en-US"/>
        </w:rPr>
      </w:pPr>
    </w:p>
    <w:p w:rsidR="00A90869" w:rsidRPr="00CC2BEA" w:rsidRDefault="00A90869" w:rsidP="001E5104">
      <w:pPr>
        <w:rPr>
          <w:rFonts w:asciiTheme="majorBidi" w:hAnsiTheme="majorBidi" w:cstheme="majorBidi"/>
          <w:lang w:val="en-US"/>
        </w:rPr>
      </w:pPr>
    </w:p>
    <w:sectPr w:rsidR="00A90869" w:rsidRPr="00CC2BEA" w:rsidSect="001E5D3C">
      <w:headerReference w:type="default" r:id="rId17"/>
      <w:pgSz w:w="11906" w:h="16838"/>
      <w:pgMar w:top="1417" w:right="1417" w:bottom="1417" w:left="1417"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980" w:rsidRDefault="00842980" w:rsidP="001E5104">
      <w:pPr>
        <w:spacing w:after="0" w:line="240" w:lineRule="auto"/>
      </w:pPr>
      <w:r>
        <w:separator/>
      </w:r>
    </w:p>
  </w:endnote>
  <w:endnote w:type="continuationSeparator" w:id="1">
    <w:p w:rsidR="00842980" w:rsidRDefault="00842980" w:rsidP="001E51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980" w:rsidRDefault="00842980" w:rsidP="001E5104">
      <w:pPr>
        <w:spacing w:after="0" w:line="240" w:lineRule="auto"/>
      </w:pPr>
      <w:r>
        <w:separator/>
      </w:r>
    </w:p>
  </w:footnote>
  <w:footnote w:type="continuationSeparator" w:id="1">
    <w:p w:rsidR="00842980" w:rsidRDefault="00842980" w:rsidP="001E51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04" w:rsidRDefault="001E5104" w:rsidP="001E5104">
    <w:pPr>
      <w:pStyle w:val="En-tte"/>
      <w:pBdr>
        <w:bottom w:val="thickThinSmallGap" w:sz="24" w:space="1" w:color="585858" w:themeColor="accent2" w:themeShade="7F"/>
      </w:pBdr>
      <w:jc w:val="center"/>
      <w:rPr>
        <w:rFonts w:asciiTheme="majorHAnsi" w:eastAsiaTheme="majorEastAsia" w:hAnsiTheme="majorHAnsi" w:cstheme="majorBidi"/>
        <w:sz w:val="32"/>
        <w:szCs w:val="32"/>
      </w:rPr>
    </w:pPr>
    <w:bookmarkStart w:id="0" w:name="_GoBack"/>
    <w:r w:rsidRPr="001E5104">
      <w:rPr>
        <w:rFonts w:asciiTheme="majorHAnsi" w:eastAsiaTheme="majorEastAsia" w:hAnsiTheme="majorHAnsi" w:cstheme="majorBidi"/>
        <w:sz w:val="32"/>
        <w:szCs w:val="32"/>
      </w:rPr>
      <w:drawing>
        <wp:inline distT="0" distB="0" distL="0" distR="0">
          <wp:extent cx="5760720" cy="748332"/>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ology Week 2019 header.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748332"/>
                  </a:xfrm>
                  <a:prstGeom prst="rect">
                    <a:avLst/>
                  </a:prstGeom>
                </pic:spPr>
              </pic:pic>
            </a:graphicData>
          </a:graphic>
        </wp:inline>
      </w:drawing>
    </w:r>
    <w:bookmarkEnd w:id="0"/>
  </w:p>
  <w:p w:rsidR="001E5104" w:rsidRDefault="001E5104">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E1E09"/>
    <w:multiLevelType w:val="hybridMultilevel"/>
    <w:tmpl w:val="71D8CCD2"/>
    <w:lvl w:ilvl="0" w:tplc="1A90554A">
      <w:start w:val="4"/>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D1A68B9"/>
    <w:multiLevelType w:val="hybridMultilevel"/>
    <w:tmpl w:val="C1AC96EC"/>
    <w:lvl w:ilvl="0" w:tplc="DAEC2C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1BC449E"/>
    <w:multiLevelType w:val="hybridMultilevel"/>
    <w:tmpl w:val="ADE24578"/>
    <w:lvl w:ilvl="0" w:tplc="3E4E8C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F8B7810"/>
    <w:multiLevelType w:val="hybridMultilevel"/>
    <w:tmpl w:val="C1AC96EC"/>
    <w:lvl w:ilvl="0" w:tplc="DAEC2C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CA8055E"/>
    <w:multiLevelType w:val="hybridMultilevel"/>
    <w:tmpl w:val="90AA65AC"/>
    <w:lvl w:ilvl="0" w:tplc="66624640">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8074604"/>
    <w:multiLevelType w:val="hybridMultilevel"/>
    <w:tmpl w:val="73C6CFDA"/>
    <w:lvl w:ilvl="0" w:tplc="DAEC2C7A">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73706111"/>
    <w:multiLevelType w:val="hybridMultilevel"/>
    <w:tmpl w:val="AC549322"/>
    <w:lvl w:ilvl="0" w:tplc="DAEC2C7A">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84C3CF2"/>
    <w:multiLevelType w:val="hybridMultilevel"/>
    <w:tmpl w:val="ED6C0CB0"/>
    <w:lvl w:ilvl="0" w:tplc="F9CA7598">
      <w:start w:val="1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7B245A48"/>
    <w:multiLevelType w:val="hybridMultilevel"/>
    <w:tmpl w:val="C1AC96EC"/>
    <w:lvl w:ilvl="0" w:tplc="DAEC2C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3"/>
  </w:num>
  <w:num w:numId="5">
    <w:abstractNumId w:val="0"/>
  </w:num>
  <w:num w:numId="6">
    <w:abstractNumId w:val="5"/>
  </w:num>
  <w:num w:numId="7">
    <w:abstractNumId w:val="6"/>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1E5104"/>
    <w:rsid w:val="00085D2F"/>
    <w:rsid w:val="001E5104"/>
    <w:rsid w:val="001E5D3C"/>
    <w:rsid w:val="00213316"/>
    <w:rsid w:val="00285DA1"/>
    <w:rsid w:val="002F6A5F"/>
    <w:rsid w:val="003D2D85"/>
    <w:rsid w:val="00634334"/>
    <w:rsid w:val="00713CF3"/>
    <w:rsid w:val="00842980"/>
    <w:rsid w:val="00A005D2"/>
    <w:rsid w:val="00A90869"/>
    <w:rsid w:val="00AF0F3C"/>
    <w:rsid w:val="00C3412B"/>
    <w:rsid w:val="00CC2BEA"/>
    <w:rsid w:val="00ED4E94"/>
    <w:rsid w:val="00F265D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04"/>
    <w:rPr>
      <w:lang w:val="en-GB"/>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E5104"/>
    <w:pPr>
      <w:tabs>
        <w:tab w:val="center" w:pos="4536"/>
        <w:tab w:val="right" w:pos="9072"/>
      </w:tabs>
      <w:spacing w:after="0" w:line="240" w:lineRule="auto"/>
    </w:pPr>
  </w:style>
  <w:style w:type="character" w:customStyle="1" w:styleId="En-tteCar">
    <w:name w:val="En-tête Car"/>
    <w:basedOn w:val="Policepardfaut"/>
    <w:link w:val="En-tte"/>
    <w:uiPriority w:val="99"/>
    <w:rsid w:val="001E5104"/>
  </w:style>
  <w:style w:type="paragraph" w:styleId="Pieddepage">
    <w:name w:val="footer"/>
    <w:basedOn w:val="Normal"/>
    <w:link w:val="PieddepageCar"/>
    <w:uiPriority w:val="99"/>
    <w:semiHidden/>
    <w:unhideWhenUsed/>
    <w:rsid w:val="001E5104"/>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1E5104"/>
  </w:style>
  <w:style w:type="paragraph" w:styleId="Textedebulles">
    <w:name w:val="Balloon Text"/>
    <w:basedOn w:val="Normal"/>
    <w:link w:val="TextedebullesCar"/>
    <w:uiPriority w:val="99"/>
    <w:semiHidden/>
    <w:unhideWhenUsed/>
    <w:rsid w:val="001E510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5104"/>
    <w:rPr>
      <w:rFonts w:ascii="Tahoma" w:hAnsi="Tahoma" w:cs="Tahoma"/>
      <w:sz w:val="16"/>
      <w:szCs w:val="16"/>
    </w:rPr>
  </w:style>
  <w:style w:type="paragraph" w:styleId="Paragraphedeliste">
    <w:name w:val="List Paragraph"/>
    <w:basedOn w:val="Normal"/>
    <w:uiPriority w:val="34"/>
    <w:qFormat/>
    <w:rsid w:val="001E5104"/>
    <w:pPr>
      <w:ind w:left="720"/>
      <w:contextualSpacing/>
    </w:pPr>
  </w:style>
  <w:style w:type="paragraph" w:styleId="NormalWeb">
    <w:name w:val="Normal (Web)"/>
    <w:basedOn w:val="Normal"/>
    <w:uiPriority w:val="99"/>
    <w:unhideWhenUsed/>
    <w:rsid w:val="001E5D3C"/>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Grilledutableau">
    <w:name w:val="Table Grid"/>
    <w:basedOn w:val="TableauNormal"/>
    <w:uiPriority w:val="59"/>
    <w:rsid w:val="001E5D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928891">
      <w:bodyDiv w:val="1"/>
      <w:marLeft w:val="0"/>
      <w:marRight w:val="0"/>
      <w:marTop w:val="0"/>
      <w:marBottom w:val="0"/>
      <w:divBdr>
        <w:top w:val="none" w:sz="0" w:space="0" w:color="auto"/>
        <w:left w:val="none" w:sz="0" w:space="0" w:color="auto"/>
        <w:bottom w:val="none" w:sz="0" w:space="0" w:color="auto"/>
        <w:right w:val="none" w:sz="0" w:space="0" w:color="auto"/>
      </w:divBdr>
    </w:div>
    <w:div w:id="168758443">
      <w:bodyDiv w:val="1"/>
      <w:marLeft w:val="0"/>
      <w:marRight w:val="0"/>
      <w:marTop w:val="0"/>
      <w:marBottom w:val="0"/>
      <w:divBdr>
        <w:top w:val="none" w:sz="0" w:space="0" w:color="auto"/>
        <w:left w:val="none" w:sz="0" w:space="0" w:color="auto"/>
        <w:bottom w:val="none" w:sz="0" w:space="0" w:color="auto"/>
        <w:right w:val="none" w:sz="0" w:space="0" w:color="auto"/>
      </w:divBdr>
    </w:div>
    <w:div w:id="205533008">
      <w:bodyDiv w:val="1"/>
      <w:marLeft w:val="0"/>
      <w:marRight w:val="0"/>
      <w:marTop w:val="0"/>
      <w:marBottom w:val="0"/>
      <w:divBdr>
        <w:top w:val="none" w:sz="0" w:space="0" w:color="auto"/>
        <w:left w:val="none" w:sz="0" w:space="0" w:color="auto"/>
        <w:bottom w:val="none" w:sz="0" w:space="0" w:color="auto"/>
        <w:right w:val="none" w:sz="0" w:space="0" w:color="auto"/>
      </w:divBdr>
    </w:div>
    <w:div w:id="382022904">
      <w:bodyDiv w:val="1"/>
      <w:marLeft w:val="0"/>
      <w:marRight w:val="0"/>
      <w:marTop w:val="0"/>
      <w:marBottom w:val="0"/>
      <w:divBdr>
        <w:top w:val="none" w:sz="0" w:space="0" w:color="auto"/>
        <w:left w:val="none" w:sz="0" w:space="0" w:color="auto"/>
        <w:bottom w:val="none" w:sz="0" w:space="0" w:color="auto"/>
        <w:right w:val="none" w:sz="0" w:space="0" w:color="auto"/>
      </w:divBdr>
    </w:div>
    <w:div w:id="534539597">
      <w:bodyDiv w:val="1"/>
      <w:marLeft w:val="0"/>
      <w:marRight w:val="0"/>
      <w:marTop w:val="0"/>
      <w:marBottom w:val="0"/>
      <w:divBdr>
        <w:top w:val="none" w:sz="0" w:space="0" w:color="auto"/>
        <w:left w:val="none" w:sz="0" w:space="0" w:color="auto"/>
        <w:bottom w:val="none" w:sz="0" w:space="0" w:color="auto"/>
        <w:right w:val="none" w:sz="0" w:space="0" w:color="auto"/>
      </w:divBdr>
    </w:div>
    <w:div w:id="760754898">
      <w:bodyDiv w:val="1"/>
      <w:marLeft w:val="0"/>
      <w:marRight w:val="0"/>
      <w:marTop w:val="0"/>
      <w:marBottom w:val="0"/>
      <w:divBdr>
        <w:top w:val="none" w:sz="0" w:space="0" w:color="auto"/>
        <w:left w:val="none" w:sz="0" w:space="0" w:color="auto"/>
        <w:bottom w:val="none" w:sz="0" w:space="0" w:color="auto"/>
        <w:right w:val="none" w:sz="0" w:space="0" w:color="auto"/>
      </w:divBdr>
    </w:div>
    <w:div w:id="1253970611">
      <w:bodyDiv w:val="1"/>
      <w:marLeft w:val="0"/>
      <w:marRight w:val="0"/>
      <w:marTop w:val="0"/>
      <w:marBottom w:val="0"/>
      <w:divBdr>
        <w:top w:val="none" w:sz="0" w:space="0" w:color="auto"/>
        <w:left w:val="none" w:sz="0" w:space="0" w:color="auto"/>
        <w:bottom w:val="none" w:sz="0" w:space="0" w:color="auto"/>
        <w:right w:val="none" w:sz="0" w:space="0" w:color="auto"/>
      </w:divBdr>
    </w:div>
    <w:div w:id="1465468730">
      <w:bodyDiv w:val="1"/>
      <w:marLeft w:val="0"/>
      <w:marRight w:val="0"/>
      <w:marTop w:val="0"/>
      <w:marBottom w:val="0"/>
      <w:divBdr>
        <w:top w:val="none" w:sz="0" w:space="0" w:color="auto"/>
        <w:left w:val="none" w:sz="0" w:space="0" w:color="auto"/>
        <w:bottom w:val="none" w:sz="0" w:space="0" w:color="auto"/>
        <w:right w:val="none" w:sz="0" w:space="0" w:color="auto"/>
      </w:divBdr>
    </w:div>
    <w:div w:id="1683581816">
      <w:bodyDiv w:val="1"/>
      <w:marLeft w:val="0"/>
      <w:marRight w:val="0"/>
      <w:marTop w:val="0"/>
      <w:marBottom w:val="0"/>
      <w:divBdr>
        <w:top w:val="none" w:sz="0" w:space="0" w:color="auto"/>
        <w:left w:val="none" w:sz="0" w:space="0" w:color="auto"/>
        <w:bottom w:val="none" w:sz="0" w:space="0" w:color="auto"/>
        <w:right w:val="none" w:sz="0" w:space="0" w:color="auto"/>
      </w:divBdr>
    </w:div>
    <w:div w:id="1769546604">
      <w:bodyDiv w:val="1"/>
      <w:marLeft w:val="0"/>
      <w:marRight w:val="0"/>
      <w:marTop w:val="0"/>
      <w:marBottom w:val="0"/>
      <w:divBdr>
        <w:top w:val="none" w:sz="0" w:space="0" w:color="auto"/>
        <w:left w:val="none" w:sz="0" w:space="0" w:color="auto"/>
        <w:bottom w:val="none" w:sz="0" w:space="0" w:color="auto"/>
        <w:right w:val="none" w:sz="0" w:space="0" w:color="auto"/>
      </w:divBdr>
    </w:div>
    <w:div w:id="182840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hème Office">
  <a:themeElements>
    <a:clrScheme name="Nuances de gri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1BD9E-78DA-4FF4-8014-AF6E80C22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1324</Words>
  <Characters>7287</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dc:creator>
  <cp:lastModifiedBy>util</cp:lastModifiedBy>
  <cp:revision>2</cp:revision>
  <dcterms:created xsi:type="dcterms:W3CDTF">2019-04-25T13:24:00Z</dcterms:created>
  <dcterms:modified xsi:type="dcterms:W3CDTF">2019-04-25T15:20:00Z</dcterms:modified>
</cp:coreProperties>
</file>